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0048-2023-QE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重庆阳正环保科技股份有限公司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91500105588930240B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rFonts w:hint="eastAsia"/>
                <w:sz w:val="22"/>
                <w:szCs w:val="22"/>
              </w:rPr>
              <w:t>Q:认可,E:未认可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Q:21,E:21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pStyle w:val="13"/>
              <w:ind w:left="0" w:firstLine="4096" w:firstLineChars="1700"/>
              <w:rPr>
                <w:bCs/>
                <w:color w:val="4F81BD" w:themeColor="accent1"/>
                <w:sz w:val="24"/>
                <w:szCs w:val="24"/>
              </w:rPr>
            </w:pPr>
            <w:r>
              <w:rPr>
                <w:rFonts w:hint="eastAsia"/>
                <w:bCs/>
                <w:color w:val="4F81BD" w:themeColor="accent1"/>
                <w:sz w:val="24"/>
                <w:szCs w:val="24"/>
              </w:rPr>
              <w:t>申   请</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 公司因投招标使用，需证书里的产品/服务内容一致</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 公司需与其它体系或服务认证证书中的产品/服务范围表述一致，便于统一管理，统一招投标使用</w:t>
            </w:r>
          </w:p>
          <w:p>
            <w:pPr>
              <w:pStyle w:val="13"/>
              <w:ind w:left="0"/>
              <w:rPr>
                <w:rFonts w:ascii="宋体" w:hAnsi="宋体" w:cs="宋体"/>
                <w:bCs/>
                <w:color w:val="4F81BD" w:themeColor="accent1"/>
                <w:sz w:val="22"/>
                <w:szCs w:val="22"/>
              </w:rPr>
            </w:pPr>
            <w:r>
              <w:rPr>
                <w:rFonts w:hint="eastAsia"/>
                <w:color w:val="000000" w:themeColor="text1"/>
                <w:spacing w:val="-2"/>
                <w:sz w:val="21"/>
                <w:szCs w:val="21"/>
              </w:rPr>
              <w:t>■</w:t>
            </w:r>
            <w:r>
              <w:rPr>
                <w:rFonts w:hint="eastAsia" w:ascii="宋体" w:hAnsi="宋体" w:cs="宋体"/>
                <w:bCs/>
                <w:color w:val="4F81BD" w:themeColor="accent1"/>
                <w:sz w:val="22"/>
                <w:szCs w:val="22"/>
              </w:rPr>
              <w:t xml:space="preserve"> 需与原获证证书范围一致，以便于统一管理。</w:t>
            </w:r>
          </w:p>
          <w:p>
            <w:pPr>
              <w:pStyle w:val="13"/>
              <w:ind w:left="0"/>
              <w:rPr>
                <w:b w:val="0"/>
                <w:color w:val="000000" w:themeColor="text1"/>
                <w:sz w:val="22"/>
                <w:szCs w:val="22"/>
              </w:rPr>
            </w:pPr>
            <w:r>
              <w:rPr>
                <w:rFonts w:hint="eastAsia" w:ascii="宋体" w:hAnsi="宋体" w:cs="宋体"/>
                <w:bCs/>
                <w:color w:val="4F81BD" w:themeColor="accent1"/>
                <w:sz w:val="22"/>
                <w:szCs w:val="22"/>
              </w:rPr>
              <w:t>特申请QMS为一张证书，无CNAS认可标志。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重庆阳正环保科技股份有限公司</w:t>
            </w:r>
            <w:bookmarkEnd w:id="18"/>
          </w:p>
        </w:tc>
        <w:tc>
          <w:tcPr>
            <w:tcW w:w="5013" w:type="dxa"/>
            <w:gridSpan w:val="4"/>
            <w:vMerge w:val="restart"/>
          </w:tcPr>
          <w:p>
            <w:pPr>
              <w:widowControl/>
              <w:jc w:val="left"/>
              <w:rPr>
                <w:rFonts w:ascii="宋体" w:hAnsi="宋体" w:cs="宋体"/>
                <w:color w:val="000000"/>
                <w:kern w:val="0"/>
                <w:szCs w:val="21"/>
              </w:rPr>
            </w:pPr>
            <w:bookmarkStart w:id="19" w:name="范围英"/>
            <w:bookmarkEnd w:id="19"/>
            <w:bookmarkStart w:id="20" w:name="审核范围"/>
            <w:r>
              <w:rPr>
                <w:rFonts w:ascii="宋体" w:hAnsi="宋体" w:cs="宋体"/>
                <w:color w:val="000000"/>
                <w:kern w:val="0"/>
                <w:szCs w:val="21"/>
              </w:rPr>
              <w:t>Q：环保设备的研发及销售，环保技术咨询，资质范围内环境污染（废气、废水）的治理</w:t>
            </w:r>
          </w:p>
          <w:p>
            <w:pPr>
              <w:snapToGrid w:val="0"/>
              <w:spacing w:line="0" w:lineRule="atLeast"/>
              <w:jc w:val="left"/>
              <w:rPr>
                <w:sz w:val="22"/>
                <w:szCs w:val="22"/>
              </w:rPr>
            </w:pPr>
            <w:r>
              <w:rPr>
                <w:rFonts w:ascii="宋体" w:hAnsi="宋体" w:cs="宋体"/>
                <w:color w:val="000000"/>
                <w:kern w:val="0"/>
                <w:szCs w:val="21"/>
              </w:rPr>
              <w:t>E：环保设备的研发及销售，环保技术咨询，资质范围内环境污染（废气、废水）的治理 所涉及场所的相关环境管理活动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重庆市渝中区经纬大道780号1幢3-7#</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重庆市渝中区经纬大道780号1幢3-7#</w:t>
            </w:r>
            <w:bookmarkEnd w:id="22"/>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576" w:type="dxa"/>
            <w:vMerge w:val="restart"/>
          </w:tcPr>
          <w:p>
            <w:pPr>
              <w:snapToGrid w:val="0"/>
              <w:spacing w:line="0" w:lineRule="atLeast"/>
              <w:jc w:val="left"/>
              <w:rPr>
                <w:sz w:val="18"/>
                <w:szCs w:val="18"/>
              </w:rPr>
            </w:pPr>
            <w:r>
              <w:rPr>
                <w:rFonts w:cs="Arial"/>
                <w:b/>
                <w:bCs/>
                <w:sz w:val="18"/>
                <w:szCs w:val="18"/>
              </w:rPr>
              <w:t>Company Name</w:t>
            </w:r>
            <w:r>
              <w:rPr>
                <w:rFonts w:hint="eastAsia"/>
                <w:sz w:val="18"/>
                <w:szCs w:val="18"/>
                <w:lang w:val="en-GB"/>
              </w:rPr>
              <w:t>公司名称</w:t>
            </w:r>
          </w:p>
        </w:tc>
        <w:tc>
          <w:tcPr>
            <w:tcW w:w="3373" w:type="dxa"/>
            <w:vMerge w:val="restart"/>
          </w:tcPr>
          <w:p>
            <w:pPr>
              <w:snapToGrid w:val="0"/>
              <w:spacing w:line="0" w:lineRule="atLeast"/>
              <w:jc w:val="left"/>
              <w:rPr>
                <w:sz w:val="22"/>
                <w:szCs w:val="22"/>
              </w:rPr>
            </w:pPr>
            <w:r>
              <w:rPr>
                <w:rFonts w:hint="eastAsia"/>
                <w:sz w:val="22"/>
                <w:szCs w:val="22"/>
              </w:rPr>
              <w:t>Chongqing Yangzheng Environmental Protection Technology Co., Ltd</w:t>
            </w:r>
          </w:p>
        </w:tc>
        <w:tc>
          <w:tcPr>
            <w:tcW w:w="1337" w:type="dxa"/>
          </w:tcPr>
          <w:p>
            <w:pPr>
              <w:snapToGrid w:val="0"/>
              <w:spacing w:line="0" w:lineRule="atLeast"/>
              <w:jc w:val="left"/>
              <w:rPr>
                <w:sz w:val="18"/>
                <w:szCs w:val="18"/>
              </w:rPr>
            </w:pPr>
            <w:r>
              <w:rPr>
                <w:rFonts w:hint="eastAsia"/>
                <w:sz w:val="18"/>
                <w:szCs w:val="18"/>
              </w:rPr>
              <w:t>QMS/EcMS</w:t>
            </w:r>
          </w:p>
        </w:tc>
        <w:tc>
          <w:tcPr>
            <w:tcW w:w="3676" w:type="dxa"/>
            <w:gridSpan w:val="3"/>
          </w:tcPr>
          <w:p>
            <w:pPr>
              <w:snapToGrid w:val="0"/>
              <w:spacing w:line="0" w:lineRule="atLeast"/>
              <w:jc w:val="left"/>
              <w:rPr>
                <w:sz w:val="21"/>
                <w:szCs w:val="16"/>
              </w:rPr>
            </w:pPr>
            <w:r>
              <w:rPr>
                <w:rFonts w:hint="eastAsia"/>
                <w:sz w:val="21"/>
                <w:szCs w:val="16"/>
              </w:rPr>
              <w:t>R&amp;D and sales of environmental protection equipment, environmental protection technical consultation, and treatment of environmental pollution (waste gas and wastewater)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576" w:type="dxa"/>
            <w:vMerge w:val="continue"/>
          </w:tcPr>
          <w:p>
            <w:pPr>
              <w:snapToGrid w:val="0"/>
              <w:spacing w:line="0" w:lineRule="atLeast"/>
              <w:jc w:val="left"/>
              <w:rPr>
                <w:rFonts w:cs="Arial"/>
                <w:b/>
                <w:bCs/>
                <w:sz w:val="18"/>
                <w:szCs w:val="18"/>
              </w:rPr>
            </w:pPr>
          </w:p>
        </w:tc>
        <w:tc>
          <w:tcPr>
            <w:tcW w:w="3373" w:type="dxa"/>
            <w:vMerge w:val="continue"/>
          </w:tcPr>
          <w:p>
            <w:pPr>
              <w:snapToGrid w:val="0"/>
              <w:spacing w:line="0" w:lineRule="atLeast"/>
              <w:jc w:val="left"/>
              <w:rPr>
                <w:rFonts w:cs="Arial"/>
                <w:b/>
                <w:bCs/>
                <w:sz w:val="18"/>
                <w:szCs w:val="18"/>
              </w:rPr>
            </w:pPr>
          </w:p>
        </w:tc>
        <w:tc>
          <w:tcPr>
            <w:tcW w:w="1337" w:type="dxa"/>
          </w:tcPr>
          <w:p>
            <w:pPr>
              <w:snapToGrid w:val="0"/>
              <w:spacing w:line="0" w:lineRule="atLeast"/>
              <w:jc w:val="left"/>
              <w:rPr>
                <w:sz w:val="18"/>
                <w:szCs w:val="18"/>
              </w:rPr>
            </w:pPr>
            <w:r>
              <w:rPr>
                <w:rFonts w:hint="eastAsia"/>
                <w:sz w:val="18"/>
                <w:szCs w:val="18"/>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576" w:type="dxa"/>
            <w:vMerge w:val="restart"/>
          </w:tcPr>
          <w:p>
            <w:pPr>
              <w:snapToGrid w:val="0"/>
              <w:spacing w:line="0" w:lineRule="atLeast"/>
              <w:jc w:val="left"/>
              <w:rPr>
                <w:sz w:val="15"/>
                <w:szCs w:val="15"/>
              </w:rPr>
            </w:pPr>
            <w:r>
              <w:rPr>
                <w:sz w:val="15"/>
                <w:szCs w:val="15"/>
              </w:rPr>
              <w:fldChar w:fldCharType="begin"/>
            </w:r>
            <w:r>
              <w:rPr>
                <w:sz w:val="15"/>
                <w:szCs w:val="15"/>
                <w:lang w:val="en-GB"/>
              </w:rPr>
              <w:instrText xml:space="preserve"> STYLEREF TM_street \* MERGEFORMAT </w:instrText>
            </w:r>
            <w:r>
              <w:rPr>
                <w:sz w:val="15"/>
                <w:szCs w:val="15"/>
              </w:rPr>
              <w:fldChar w:fldCharType="end"/>
            </w:r>
            <w:r>
              <w:rPr>
                <w:rFonts w:cs="Arial"/>
                <w:b/>
                <w:bCs/>
                <w:sz w:val="15"/>
                <w:szCs w:val="15"/>
              </w:rPr>
              <w:t>Registration Address</w:t>
            </w:r>
            <w:r>
              <w:rPr>
                <w:rFonts w:hint="eastAsia"/>
                <w:sz w:val="15"/>
                <w:szCs w:val="15"/>
                <w:lang w:val="en-GB"/>
              </w:rPr>
              <w:t>注册地址</w:t>
            </w:r>
          </w:p>
        </w:tc>
        <w:tc>
          <w:tcPr>
            <w:tcW w:w="3373" w:type="dxa"/>
            <w:vMerge w:val="restart"/>
          </w:tcPr>
          <w:p>
            <w:pPr>
              <w:snapToGrid w:val="0"/>
              <w:spacing w:line="0" w:lineRule="atLeast"/>
              <w:jc w:val="left"/>
              <w:rPr>
                <w:sz w:val="22"/>
                <w:szCs w:val="22"/>
                <w:lang w:val="en-GB"/>
              </w:rPr>
            </w:pPr>
            <w:r>
              <w:rPr>
                <w:rFonts w:hint="eastAsia"/>
                <w:sz w:val="22"/>
                <w:szCs w:val="22"/>
                <w:lang w:val="en-GB"/>
              </w:rPr>
              <w:t>3-7 #, Building 1, No.780, Jingwei Avenue, Yuzhong District, Chongqing</w:t>
            </w:r>
          </w:p>
        </w:tc>
        <w:tc>
          <w:tcPr>
            <w:tcW w:w="1337" w:type="dxa"/>
          </w:tcPr>
          <w:p>
            <w:pPr>
              <w:snapToGrid w:val="0"/>
              <w:spacing w:line="0" w:lineRule="atLeast"/>
              <w:jc w:val="left"/>
              <w:rPr>
                <w:sz w:val="18"/>
                <w:szCs w:val="18"/>
              </w:rPr>
            </w:pPr>
            <w:r>
              <w:rPr>
                <w:rFonts w:hint="eastAsia"/>
                <w:sz w:val="18"/>
                <w:szCs w:val="18"/>
              </w:rPr>
              <w:t>OHSMS</w:t>
            </w:r>
          </w:p>
        </w:tc>
        <w:tc>
          <w:tcPr>
            <w:tcW w:w="3676" w:type="dxa"/>
            <w:gridSpan w:val="3"/>
          </w:tcPr>
          <w:p>
            <w:pPr>
              <w:snapToGrid w:val="0"/>
              <w:spacing w:line="0" w:lineRule="atLeast"/>
              <w:jc w:val="left"/>
              <w:rPr>
                <w:sz w:val="22"/>
                <w:szCs w:val="22"/>
              </w:rPr>
            </w:pPr>
            <w:r>
              <w:rPr>
                <w:rFonts w:hint="eastAsia"/>
                <w:sz w:val="22"/>
                <w:szCs w:val="22"/>
              </w:rPr>
              <w:t>R&amp;D and sales of environmental protection equipment, environmental protection technical consultation, and environmental management activities related to the places involved in the treatment of environmental pollution (waste gas, waste water) within the scope of qualification</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1576" w:type="dxa"/>
            <w:vMerge w:val="continue"/>
          </w:tcPr>
          <w:p>
            <w:pPr>
              <w:snapToGrid w:val="0"/>
              <w:spacing w:line="0" w:lineRule="atLeast"/>
              <w:jc w:val="left"/>
              <w:rPr>
                <w:sz w:val="15"/>
                <w:szCs w:val="15"/>
              </w:rPr>
            </w:pPr>
          </w:p>
        </w:tc>
        <w:tc>
          <w:tcPr>
            <w:tcW w:w="3373" w:type="dxa"/>
            <w:vMerge w:val="continue"/>
          </w:tcPr>
          <w:p>
            <w:pPr>
              <w:snapToGrid w:val="0"/>
              <w:spacing w:line="0" w:lineRule="atLeast"/>
              <w:jc w:val="left"/>
              <w:rPr>
                <w:rFonts w:cs="Arial"/>
                <w:b/>
                <w:bCs/>
                <w:sz w:val="18"/>
                <w:szCs w:val="18"/>
              </w:rPr>
            </w:pPr>
          </w:p>
        </w:tc>
        <w:tc>
          <w:tcPr>
            <w:tcW w:w="1337" w:type="dxa"/>
          </w:tcPr>
          <w:p>
            <w:pPr>
              <w:snapToGrid w:val="0"/>
              <w:spacing w:line="0" w:lineRule="atLeast"/>
              <w:jc w:val="left"/>
              <w:rPr>
                <w:sz w:val="18"/>
                <w:szCs w:val="18"/>
              </w:rPr>
            </w:pP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76" w:type="dxa"/>
            <w:vMerge w:val="restart"/>
          </w:tcPr>
          <w:p>
            <w:pPr>
              <w:snapToGrid w:val="0"/>
              <w:spacing w:line="0" w:lineRule="atLeast"/>
              <w:jc w:val="left"/>
              <w:rPr>
                <w:sz w:val="15"/>
                <w:szCs w:val="15"/>
                <w:lang w:val="en-GB"/>
              </w:rPr>
            </w:pPr>
            <w:r>
              <w:rPr>
                <w:rFonts w:cs="Arial"/>
                <w:b/>
                <w:bCs/>
                <w:sz w:val="15"/>
                <w:szCs w:val="15"/>
              </w:rPr>
              <w:t>Operation Address</w:t>
            </w:r>
            <w:r>
              <w:rPr>
                <w:rFonts w:hint="eastAsia"/>
                <w:sz w:val="15"/>
                <w:szCs w:val="15"/>
              </w:rPr>
              <w:t>经营</w:t>
            </w:r>
            <w:r>
              <w:rPr>
                <w:rFonts w:hint="eastAsia"/>
                <w:sz w:val="15"/>
                <w:szCs w:val="15"/>
                <w:lang w:val="en-GB"/>
              </w:rPr>
              <w:t>地址</w:t>
            </w:r>
          </w:p>
        </w:tc>
        <w:tc>
          <w:tcPr>
            <w:tcW w:w="3373" w:type="dxa"/>
            <w:vMerge w:val="restart"/>
          </w:tcPr>
          <w:p>
            <w:pPr>
              <w:snapToGrid w:val="0"/>
              <w:spacing w:line="0" w:lineRule="atLeast"/>
              <w:jc w:val="left"/>
              <w:rPr>
                <w:sz w:val="22"/>
                <w:szCs w:val="22"/>
              </w:rPr>
            </w:pPr>
            <w:r>
              <w:rPr>
                <w:rFonts w:hint="eastAsia"/>
                <w:sz w:val="22"/>
                <w:szCs w:val="22"/>
                <w:lang w:val="en-GB"/>
              </w:rPr>
              <w:t>3-7 #, Building 1, No.780, Jingwei Avenue, Yuzhong District, Chongqing</w:t>
            </w:r>
          </w:p>
        </w:tc>
        <w:tc>
          <w:tcPr>
            <w:tcW w:w="1337" w:type="dxa"/>
          </w:tcPr>
          <w:p>
            <w:pPr>
              <w:snapToGrid w:val="0"/>
              <w:spacing w:line="0" w:lineRule="atLeast"/>
              <w:jc w:val="left"/>
              <w:rPr>
                <w:sz w:val="18"/>
                <w:szCs w:val="18"/>
              </w:rPr>
            </w:pP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18"/>
                <w:szCs w:val="18"/>
              </w:rPr>
            </w:pPr>
          </w:p>
        </w:tc>
        <w:tc>
          <w:tcPr>
            <w:tcW w:w="3373" w:type="dxa"/>
            <w:vMerge w:val="continue"/>
          </w:tcPr>
          <w:p>
            <w:pPr>
              <w:snapToGrid w:val="0"/>
              <w:spacing w:line="0" w:lineRule="atLeast"/>
              <w:jc w:val="left"/>
              <w:rPr>
                <w:rFonts w:cs="Arial"/>
                <w:b/>
                <w:bCs/>
                <w:sz w:val="18"/>
                <w:szCs w:val="18"/>
              </w:rPr>
            </w:pPr>
          </w:p>
        </w:tc>
        <w:tc>
          <w:tcPr>
            <w:tcW w:w="1337" w:type="dxa"/>
          </w:tcPr>
          <w:p>
            <w:pPr>
              <w:snapToGrid w:val="0"/>
              <w:spacing w:line="0" w:lineRule="atLeast"/>
              <w:jc w:val="left"/>
              <w:rPr>
                <w:sz w:val="18"/>
                <w:szCs w:val="18"/>
              </w:rPr>
            </w:pP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NmYjJhM2U1YzM2MTc5ZWE0ZGM4MmM0MDllNzg3NDEifQ=="/>
  </w:docVars>
  <w:rsids>
    <w:rsidRoot w:val="00F477A7"/>
    <w:rsid w:val="000412DE"/>
    <w:rsid w:val="00162309"/>
    <w:rsid w:val="00227E6B"/>
    <w:rsid w:val="003859D6"/>
    <w:rsid w:val="005F35D0"/>
    <w:rsid w:val="00E56801"/>
    <w:rsid w:val="00F477A7"/>
    <w:rsid w:val="50901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678</Words>
  <Characters>1118</Characters>
  <Lines>10</Lines>
  <Paragraphs>2</Paragraphs>
  <TotalTime>8</TotalTime>
  <ScaleCrop>false</ScaleCrop>
  <LinksUpToDate>false</LinksUpToDate>
  <CharactersWithSpaces>1282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成庆</cp:lastModifiedBy>
  <cp:lastPrinted>2019-05-13T03:13:00Z</cp:lastPrinted>
  <dcterms:modified xsi:type="dcterms:W3CDTF">2023-02-20T06:55:57Z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