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四川苏华能源工程有限公司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工艺流程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签订合同----工程估算----工程概算---施工图设计----竣工图设计----交付。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设计过程</w:t>
            </w:r>
            <w:r>
              <w:rPr>
                <w:rFonts w:hint="eastAsia" w:ascii="宋体" w:hAnsi="宋体"/>
                <w:sz w:val="21"/>
                <w:szCs w:val="21"/>
              </w:rPr>
              <w:t>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主要质量要求：工程设计质量等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关键控制点：工程概算、设计质量等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电力工程电缆设计规范GB50217-2007、电力建设施工及验收技术规范（建筑工程篇） SDJ 69-87、电力建设施工及验收技术规范（水工结构工程篇）SDJ280-90、电力建设施工及验收技术规范(第五部分热工自动化) DL/T5190.5-2004、电力建设施工及验收技术规范(管道篇) DL 5031-94等。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图纸校对、审批等。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3570" w:firstLineChars="17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204470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214630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四川苏华能源工程有限公司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工艺流程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签订合同----工程估算----工程概算---施工图设计----竣工图设计----交付。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设计过程</w:t>
            </w:r>
            <w:r>
              <w:rPr>
                <w:rFonts w:hint="eastAsia" w:ascii="宋体" w:hAnsi="宋体"/>
                <w:sz w:val="21"/>
                <w:szCs w:val="21"/>
              </w:rPr>
              <w:t>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重要环境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因素：1）固废排放；2）潜在火灾；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cs="宋体"/>
                <w:sz w:val="21"/>
                <w:szCs w:val="21"/>
              </w:rPr>
              <w:t>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电力工程电缆设计规范GB50217-2007、电力建设施工及验收技术规范（建筑工程篇） SDJ 69-87、电力建设施工及验收技术规范（水工结构工程篇）SDJ280-90、电力建设施工及验收技术规范(第五部分热工自动化) DL/T5190.5-2004、电力建设施工及验收技术规范(管道篇) DL 5031-94等。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204470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214630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BCB5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2023-02-22T13:26:55Z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