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0159-2023-QEO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10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038"/>
        <w:gridCol w:w="1467"/>
        <w:gridCol w:w="1535"/>
        <w:gridCol w:w="705"/>
        <w:gridCol w:w="665"/>
        <w:gridCol w:w="1976"/>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江西博锐家具有限公司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91360121MA7CMQ3A22</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Q:32,E:32,O:32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left"/>
              <w:rPr>
                <w:sz w:val="22"/>
                <w:szCs w:val="22"/>
              </w:rPr>
            </w:pPr>
          </w:p>
        </w:tc>
        <w:tc>
          <w:tcPr>
            <w:tcW w:w="2038" w:type="dxa"/>
          </w:tcPr>
          <w:p>
            <w:pPr>
              <w:snapToGrid w:val="0"/>
              <w:spacing w:line="0" w:lineRule="atLeast"/>
              <w:jc w:val="left"/>
              <w:rPr>
                <w:sz w:val="22"/>
                <w:szCs w:val="22"/>
              </w:rPr>
            </w:pPr>
            <w:r>
              <w:rPr>
                <w:rFonts w:hint="eastAsia"/>
                <w:sz w:val="22"/>
                <w:szCs w:val="22"/>
                <w:lang w:val="en-GB"/>
              </w:rPr>
              <w:t>中文公司名称及地址</w:t>
            </w:r>
          </w:p>
        </w:tc>
        <w:tc>
          <w:tcPr>
            <w:tcW w:w="6348"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038" w:type="dxa"/>
          </w:tcPr>
          <w:p>
            <w:pPr>
              <w:snapToGrid w:val="0"/>
              <w:spacing w:line="0" w:lineRule="atLeast"/>
              <w:jc w:val="left"/>
              <w:rPr>
                <w:sz w:val="22"/>
                <w:szCs w:val="22"/>
                <w:lang w:val="en-GB"/>
              </w:rPr>
            </w:pPr>
            <w:bookmarkStart w:id="18" w:name="组织名称Add1"/>
            <w:r>
              <w:rPr>
                <w:rFonts w:hint="eastAsia"/>
                <w:sz w:val="22"/>
                <w:szCs w:val="22"/>
              </w:rPr>
              <w:t>江西博锐家具有限公司</w:t>
            </w:r>
            <w:bookmarkEnd w:id="18"/>
          </w:p>
        </w:tc>
        <w:tc>
          <w:tcPr>
            <w:tcW w:w="6348" w:type="dxa"/>
            <w:gridSpan w:val="5"/>
            <w:vMerge w:val="restart"/>
          </w:tcPr>
          <w:p>
            <w:pPr>
              <w:snapToGrid w:val="0"/>
              <w:spacing w:line="0" w:lineRule="atLeast"/>
              <w:jc w:val="left"/>
              <w:rPr>
                <w:sz w:val="22"/>
                <w:szCs w:val="22"/>
              </w:rPr>
            </w:pPr>
            <w:bookmarkStart w:id="19" w:name="审核范围"/>
            <w:r>
              <w:rPr>
                <w:sz w:val="22"/>
                <w:szCs w:val="22"/>
              </w:rPr>
              <w:t>Q：钢木家具；办公家具（办公桌、会议桌、条形桌、餐桌、阅览桌、课桌、学习桌、圆桌、洽谈桌、写字桌、书桌、职员桌、电脑桌、休闲桌、培训桌、班台、主席台、演讲台、服务台、填单台、吧台、咨询台、化妆台、办公台、接待台、会议台、讲台、实训台、操作台、柜台、展示台、控制台、指挥台、导诊台、实验台、检验台、文件柜、茶几、茶水柜、档案柜、床头柜、衣柜、电视柜、被服柜、吊柜、储物柜、展示柜、矮柜、更衣柜、餐边柜、书包柜、隔断柜、圆几、书柜、资料柜、荣誉柜、期刊柜、活动柜、备餐柜、密码柜、地柜、壁柜、礼品柜、试剂柜、器具柜、实木椅、办公椅、课椅、公寓椅、圆凳、吧台椅、餐椅、阅览椅、博古架、行李架、衣帽架、书架、书梯、货架、置物架、储物架、屏风、床、公寓床、值班床、折叠床、组合床、适老床、上下床)的设计、生产、销售和售后服务（维保、退换货、投诉处理）及金属家具、软体家具的销售和售后服务（维保、退换货、投诉处理）</w:t>
            </w:r>
          </w:p>
          <w:p>
            <w:pPr>
              <w:snapToGrid w:val="0"/>
              <w:spacing w:line="0" w:lineRule="atLeast"/>
              <w:jc w:val="left"/>
              <w:rPr>
                <w:sz w:val="22"/>
                <w:szCs w:val="22"/>
              </w:rPr>
            </w:pPr>
            <w:r>
              <w:rPr>
                <w:sz w:val="22"/>
                <w:szCs w:val="22"/>
              </w:rPr>
              <w:t>E：钢木家具；办公家具（办公桌、会议桌、条形桌、餐桌、阅览桌、课桌、学习桌、圆桌、洽谈桌、写字桌、书桌、职员桌、电脑桌、休闲桌、培训桌、班台、主席台、演讲台、服务台、填单台、吧台、咨询台、化妆台、办公台、接待台、会议台、讲台、实训台、操作台、柜台、展示台、控制台、指挥台、导诊台、实验台、检验台、文件柜、茶几、茶水柜、档案柜、床头柜、衣柜、电视柜、被服柜、吊柜、储物柜、展示柜、矮柜、更衣柜、餐边柜、书包柜、隔断柜、圆几、书柜、资料柜、荣誉柜、期刊柜、活动柜、备餐柜、密码柜、地柜、壁柜、礼品柜、试剂柜、器具柜、实木椅、办公椅、课椅、公寓椅、圆凳、吧台椅、餐椅、阅览椅、博古架、行李架、衣帽架、书架、书梯、货架、置物架、储物架、屏风、床、公寓床、值班床、折叠床、组合床、适老床、上下床)的设计、生产、销售和售后服务（维保、退换货、投诉处理）及金属家具、软体家具的销售和售后服务（维保、退换货、投诉处理）所涉及场所的相关环境管理活动</w:t>
            </w:r>
          </w:p>
          <w:p>
            <w:pPr>
              <w:snapToGrid w:val="0"/>
              <w:spacing w:line="0" w:lineRule="atLeast"/>
              <w:jc w:val="left"/>
              <w:rPr>
                <w:sz w:val="22"/>
                <w:szCs w:val="22"/>
              </w:rPr>
            </w:pPr>
            <w:r>
              <w:rPr>
                <w:sz w:val="22"/>
                <w:szCs w:val="22"/>
              </w:rPr>
              <w:t>O：钢木家具；办公家具（办公桌、会议桌、条形桌、餐桌、阅览桌、课桌、学习桌、圆桌、洽谈桌、写字桌、书桌、职员桌、电脑桌、休闲桌、培训桌、班台、主席台、演讲台、服务台、填单台、吧台、咨询台、化妆台、办公台、接待台、会议台、讲台、实训台、操作台、柜台、展示台、控制台、指挥台、导诊台、实验台、检验台、文件柜、茶几、茶水柜、档案柜、床头柜、衣柜、电视柜、被服柜、吊柜、储物柜、展示柜、矮柜、更衣柜、餐边柜、书包柜、隔断柜、圆几、书柜、资料柜、荣誉柜、期刊柜、活动柜、备餐柜、密码柜、地柜、壁柜、礼品柜、试剂柜、器具柜、实木椅、办公椅、课椅、公寓椅、圆凳、吧台椅、餐椅、阅览椅、博古架、行李架、衣帽架、书架、书梯、货架、置物架、储物架、屏风、床、公寓床、值班床、折叠床、组合床、适老床、上下床)的设计、生产、销售和售后服务（维保、退换货、投诉处理）及金属家具、软体家具的销售和售后服务（维保、退换货、投诉处理）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038" w:type="dxa"/>
          </w:tcPr>
          <w:p>
            <w:pPr>
              <w:snapToGrid w:val="0"/>
              <w:spacing w:line="0" w:lineRule="atLeast"/>
              <w:jc w:val="left"/>
              <w:rPr>
                <w:sz w:val="22"/>
                <w:szCs w:val="22"/>
              </w:rPr>
            </w:pPr>
            <w:bookmarkStart w:id="20" w:name="注册地址"/>
            <w:r>
              <w:rPr>
                <w:rFonts w:hint="eastAsia"/>
                <w:sz w:val="22"/>
                <w:szCs w:val="22"/>
                <w:lang w:val="en-GB"/>
              </w:rPr>
              <w:t>江西省南昌市南昌县武阳镇雪芹路999号</w:t>
            </w:r>
            <w:bookmarkEnd w:id="20"/>
          </w:p>
        </w:tc>
        <w:tc>
          <w:tcPr>
            <w:tcW w:w="6348"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038" w:type="dxa"/>
          </w:tcPr>
          <w:p>
            <w:pPr>
              <w:snapToGrid w:val="0"/>
              <w:spacing w:line="0" w:lineRule="atLeast"/>
              <w:jc w:val="left"/>
              <w:rPr>
                <w:sz w:val="22"/>
                <w:szCs w:val="22"/>
              </w:rPr>
            </w:pPr>
            <w:bookmarkStart w:id="21" w:name="办公地址"/>
            <w:r>
              <w:rPr>
                <w:rFonts w:hint="eastAsia"/>
                <w:sz w:val="22"/>
                <w:szCs w:val="22"/>
                <w:lang w:val="en-GB"/>
              </w:rPr>
              <w:t>江西省南昌市南昌县武阳镇雪芹路999号</w:t>
            </w:r>
            <w:bookmarkEnd w:id="21"/>
          </w:p>
        </w:tc>
        <w:tc>
          <w:tcPr>
            <w:tcW w:w="6348"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1576" w:type="dxa"/>
          </w:tcPr>
          <w:p>
            <w:pPr>
              <w:snapToGrid w:val="0"/>
              <w:spacing w:line="0" w:lineRule="atLeast"/>
              <w:jc w:val="left"/>
              <w:rPr>
                <w:sz w:val="22"/>
                <w:szCs w:val="22"/>
              </w:rPr>
            </w:pPr>
          </w:p>
        </w:tc>
        <w:tc>
          <w:tcPr>
            <w:tcW w:w="2038"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6348"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038" w:type="dxa"/>
            <w:vMerge w:val="restart"/>
          </w:tcPr>
          <w:p>
            <w:pPr>
              <w:snapToGrid w:val="0"/>
              <w:spacing w:line="0" w:lineRule="atLeast"/>
              <w:jc w:val="left"/>
              <w:rPr>
                <w:rFonts w:hint="eastAsia"/>
                <w:sz w:val="22"/>
                <w:szCs w:val="22"/>
              </w:rPr>
            </w:pPr>
            <w:r>
              <w:rPr>
                <w:rFonts w:hint="eastAsia"/>
                <w:sz w:val="22"/>
                <w:szCs w:val="22"/>
              </w:rPr>
              <w:t>Jiangxi</w:t>
            </w:r>
          </w:p>
          <w:p>
            <w:pPr>
              <w:snapToGrid w:val="0"/>
              <w:spacing w:line="0" w:lineRule="atLeast"/>
              <w:jc w:val="left"/>
              <w:rPr>
                <w:sz w:val="22"/>
                <w:szCs w:val="22"/>
              </w:rPr>
            </w:pPr>
            <w:r>
              <w:rPr>
                <w:rFonts w:hint="eastAsia"/>
                <w:sz w:val="22"/>
                <w:szCs w:val="22"/>
                <w:lang w:val="en-US" w:eastAsia="zh-CN"/>
              </w:rPr>
              <w:t xml:space="preserve">Borui </w:t>
            </w:r>
            <w:r>
              <w:rPr>
                <w:rFonts w:hint="eastAsia"/>
                <w:sz w:val="22"/>
                <w:szCs w:val="22"/>
              </w:rPr>
              <w:t>Furniture Co., Ltd</w:t>
            </w:r>
          </w:p>
        </w:tc>
        <w:tc>
          <w:tcPr>
            <w:tcW w:w="1467" w:type="dxa"/>
          </w:tcPr>
          <w:p>
            <w:pPr>
              <w:snapToGrid w:val="0"/>
              <w:spacing w:line="0" w:lineRule="atLeast"/>
              <w:jc w:val="left"/>
              <w:rPr>
                <w:sz w:val="22"/>
                <w:szCs w:val="22"/>
              </w:rPr>
            </w:pPr>
            <w:r>
              <w:rPr>
                <w:rFonts w:hint="eastAsia"/>
                <w:sz w:val="22"/>
                <w:szCs w:val="22"/>
              </w:rPr>
              <w:t>QMS/EcMS</w:t>
            </w:r>
          </w:p>
        </w:tc>
        <w:tc>
          <w:tcPr>
            <w:tcW w:w="4881" w:type="dxa"/>
            <w:gridSpan w:val="4"/>
          </w:tcPr>
          <w:p>
            <w:pPr>
              <w:snapToGrid w:val="0"/>
              <w:spacing w:line="0" w:lineRule="atLeast"/>
              <w:jc w:val="left"/>
              <w:rPr>
                <w:sz w:val="21"/>
                <w:szCs w:val="16"/>
              </w:rPr>
            </w:pPr>
            <w:r>
              <w:rPr>
                <w:rFonts w:hint="eastAsia"/>
                <w:sz w:val="21"/>
                <w:szCs w:val="16"/>
              </w:rPr>
              <w:t>steel and wood furniture; Office furniture (desk, conference table, bar table, dining table, reading table, classroom desk, study table, round table, negotiation table, writing desk, desk, staff desk, computer desk, leisure table, training table, class desk, chairman, lecture desk, service desk, filling desk, bar desk, consultation desk, dressing table, office desk, reception desk, conference desk, podium, training desk, operation desk, counter, display table, console, command desk, guide table, laboratory table, inspection table, file cabinet, coffee table, coffee cabinet, file cabinet, bedside table, wardrobe, TV cabinet , quilt cabinet, hanging cabinet, locker, display cabinet, low cabinet, locker, sideboard, bag cabinet, partition cabinet, round table, bookcase, information cabinet, honor cabinet, periodical cabinet, activity cabinet, food preparation cabinet, password cabinet, floor cabinet, wall cabinet, gift cabinet, reagent cabinet, utensil cabinet, solid wood chair, office chair, school chair, apartment chair, round stool, bar chair, dining chair, reading chair, Bogu shelf, luggage rack, coat rack, bookcase, book ladder, shelf, storage shelf, screen, bed, apartment bed, duty bed, folding bed, combination bed, suitable bed for the elderly, bunk bed) design, production, sales and after-sales service (maintenance, return, complaint handling) and sales and after-sales service of metal furniture and upholstered furniture (maintenance, return and exchange, complaint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446" w:hRule="atLeast"/>
        </w:trPr>
        <w:tc>
          <w:tcPr>
            <w:tcW w:w="1576" w:type="dxa"/>
            <w:vMerge w:val="continue"/>
          </w:tcPr>
          <w:p>
            <w:pPr>
              <w:snapToGrid w:val="0"/>
              <w:spacing w:line="0" w:lineRule="atLeast"/>
              <w:jc w:val="left"/>
              <w:rPr>
                <w:rFonts w:cs="Arial"/>
                <w:b/>
                <w:bCs/>
                <w:sz w:val="22"/>
                <w:szCs w:val="16"/>
              </w:rPr>
            </w:pPr>
          </w:p>
        </w:tc>
        <w:tc>
          <w:tcPr>
            <w:tcW w:w="2038" w:type="dxa"/>
            <w:vMerge w:val="continue"/>
          </w:tcPr>
          <w:p>
            <w:pPr>
              <w:snapToGrid w:val="0"/>
              <w:spacing w:line="0" w:lineRule="atLeast"/>
              <w:jc w:val="left"/>
              <w:rPr>
                <w:rFonts w:cs="Arial"/>
                <w:b/>
                <w:bCs/>
                <w:sz w:val="22"/>
                <w:szCs w:val="16"/>
              </w:rPr>
            </w:pPr>
          </w:p>
        </w:tc>
        <w:tc>
          <w:tcPr>
            <w:tcW w:w="1467" w:type="dxa"/>
          </w:tcPr>
          <w:p>
            <w:pPr>
              <w:snapToGrid w:val="0"/>
              <w:spacing w:line="0" w:lineRule="atLeast"/>
              <w:jc w:val="left"/>
              <w:rPr>
                <w:sz w:val="22"/>
                <w:szCs w:val="22"/>
              </w:rPr>
            </w:pPr>
            <w:r>
              <w:rPr>
                <w:rFonts w:hint="eastAsia"/>
                <w:sz w:val="22"/>
                <w:szCs w:val="22"/>
              </w:rPr>
              <w:t>EMS</w:t>
            </w:r>
          </w:p>
        </w:tc>
        <w:tc>
          <w:tcPr>
            <w:tcW w:w="4881" w:type="dxa"/>
            <w:gridSpan w:val="4"/>
          </w:tcPr>
          <w:p>
            <w:pPr>
              <w:snapToGrid w:val="0"/>
              <w:spacing w:line="0" w:lineRule="atLeast"/>
              <w:jc w:val="left"/>
              <w:rPr>
                <w:sz w:val="21"/>
                <w:szCs w:val="16"/>
              </w:rPr>
            </w:pPr>
            <w:r>
              <w:rPr>
                <w:rFonts w:hint="eastAsia"/>
                <w:sz w:val="21"/>
                <w:szCs w:val="16"/>
              </w:rPr>
              <w:t>steel and wood furniture; Office furniture (desk, conference table, bar table, dining table, reading table, classroom desk, study table, round table, negotiation table, writing desk, desk, staff desk, computer desk, leisure table, training table, class desk, chairman, lecture desk, service desk, filling desk, bar desk, consultation desk, dressing table, office desk, reception desk, conference desk, podium, training desk, operation desk, counter, display table, console, command desk, guide table, laboratory table, inspection table, file cabinet, coffee table, coffee cabinet, file cabinet, bedside table, wardrobe, TV cabinet , quilt cabinet, hanging cabinet, locker, display cabinet, low cabinet, locker, sideboard, bag cabinet, partition cabinet, round table, bookcase, information cabinet, honor cabinet, periodical cabinet, activity cabinet, food preparation cabinet, password cabinet, floor cabinet, wall cabinet, gift cabinet, reagent cabinet, utensil cabinet, solid wood chair, office chair, school chair, apartment chair, round stool, bar chair, dining chair, reading chair, Bogu shelf, luggage rack, coat rack, bookcase, book ladder, shelf, storage shelf, screen, bed, apartment bed, duty bed, folding bed, combination bed, suitable bed for the elderly, bunk beds) and related environmental management activities related to the design, production, sales and after-sales service (maintenance, return, complaint handling) and the sale and after-sales service of metal furniture and upholstered furniture (maintenance, return, complaint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038" w:type="dxa"/>
            <w:vMerge w:val="restart"/>
          </w:tcPr>
          <w:p>
            <w:pPr>
              <w:snapToGrid w:val="0"/>
              <w:spacing w:line="0" w:lineRule="atLeast"/>
              <w:jc w:val="left"/>
              <w:rPr>
                <w:sz w:val="22"/>
                <w:szCs w:val="22"/>
              </w:rPr>
            </w:pPr>
            <w:r>
              <w:rPr>
                <w:rFonts w:hint="eastAsia"/>
                <w:sz w:val="22"/>
                <w:szCs w:val="22"/>
              </w:rPr>
              <w:t>No. 999, Xueqin Road, Wuyang Town, Nanchang County, Nanchang City, Jiangxi Provin</w:t>
            </w:r>
            <w:bookmarkStart w:id="22" w:name="_GoBack"/>
            <w:bookmarkEnd w:id="22"/>
            <w:r>
              <w:rPr>
                <w:rFonts w:hint="eastAsia"/>
                <w:sz w:val="22"/>
                <w:szCs w:val="22"/>
              </w:rPr>
              <w:t>ce</w:t>
            </w:r>
          </w:p>
        </w:tc>
        <w:tc>
          <w:tcPr>
            <w:tcW w:w="1467" w:type="dxa"/>
          </w:tcPr>
          <w:p>
            <w:pPr>
              <w:snapToGrid w:val="0"/>
              <w:spacing w:line="0" w:lineRule="atLeast"/>
              <w:jc w:val="left"/>
              <w:rPr>
                <w:sz w:val="22"/>
                <w:szCs w:val="22"/>
              </w:rPr>
            </w:pPr>
            <w:r>
              <w:rPr>
                <w:rFonts w:hint="eastAsia"/>
                <w:sz w:val="22"/>
                <w:szCs w:val="22"/>
              </w:rPr>
              <w:t>OHSMS</w:t>
            </w:r>
          </w:p>
        </w:tc>
        <w:tc>
          <w:tcPr>
            <w:tcW w:w="4881" w:type="dxa"/>
            <w:gridSpan w:val="4"/>
          </w:tcPr>
          <w:p>
            <w:pPr>
              <w:snapToGrid w:val="0"/>
              <w:spacing w:line="0" w:lineRule="atLeast"/>
              <w:jc w:val="left"/>
              <w:rPr>
                <w:sz w:val="22"/>
                <w:szCs w:val="22"/>
              </w:rPr>
            </w:pPr>
            <w:r>
              <w:rPr>
                <w:rFonts w:hint="eastAsia"/>
                <w:sz w:val="22"/>
                <w:szCs w:val="22"/>
              </w:rPr>
              <w:t>steel and wood furniture; Office furniture (desk, conference table, bar table, dining table, reading table, classroom desk, study table, round table, negotiation table, writing desk, desk, staff desk, computer desk, leisure table, training table, class desk, chairman, lecture desk, service desk, filling desk, bar desk, consultation desk, dressing table, office desk, reception desk, conference desk, podium, training desk, operation desk, counter, display table, console, command desk, guide table, laboratory table, inspection table, file cabinet, coffee table, coffee cabinet, file cabinet, bedside table, wardrobe, TV cabinet , quilt cabinet, hanging cabinet, locker, display cabinet, low cabinet, locker, sideboard, bag cabinet, partition cabinet, round table, bookcase, information cabinet, honor cabinet, periodical cabinet, activity cabinet, food preparation cabinet, password cabinet, floor cabinet, wall cabinet, gift cabinet, reagent cabinet, utensil cabinet, solid wood chair, office chair, school chair, apartment chair, round stool, bar chair, dining chair, reading chair, Bogu shelf, luggage rack, coat rack, bookcase, book ladder, shelf, storage shelf, screen, bed, apartment bed, duty bed, folding bed, combination bed, suitable bed for the elderly, Bunk bed) design, production, sales and after-sales service (maintenance, return, complaint handling) and metal furniture, upholstered furniture sales and after-sales service (maintenance, return, complaint handling) related occupational health and safety management activities in the premises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421" w:hRule="atLeast"/>
        </w:trPr>
        <w:tc>
          <w:tcPr>
            <w:tcW w:w="1576" w:type="dxa"/>
            <w:vMerge w:val="continue"/>
          </w:tcPr>
          <w:p>
            <w:pPr>
              <w:snapToGrid w:val="0"/>
              <w:spacing w:line="0" w:lineRule="atLeast"/>
              <w:jc w:val="left"/>
              <w:rPr>
                <w:sz w:val="22"/>
                <w:szCs w:val="16"/>
              </w:rPr>
            </w:pPr>
          </w:p>
        </w:tc>
        <w:tc>
          <w:tcPr>
            <w:tcW w:w="2038" w:type="dxa"/>
            <w:vMerge w:val="continue"/>
          </w:tcPr>
          <w:p>
            <w:pPr>
              <w:snapToGrid w:val="0"/>
              <w:spacing w:line="0" w:lineRule="atLeast"/>
              <w:jc w:val="left"/>
              <w:rPr>
                <w:rFonts w:cs="Arial"/>
                <w:b/>
                <w:bCs/>
                <w:sz w:val="22"/>
                <w:szCs w:val="16"/>
              </w:rPr>
            </w:pPr>
          </w:p>
        </w:tc>
        <w:tc>
          <w:tcPr>
            <w:tcW w:w="1467" w:type="dxa"/>
          </w:tcPr>
          <w:p>
            <w:pPr>
              <w:snapToGrid w:val="0"/>
              <w:spacing w:line="0" w:lineRule="atLeast"/>
              <w:jc w:val="left"/>
              <w:rPr>
                <w:sz w:val="22"/>
                <w:szCs w:val="22"/>
              </w:rPr>
            </w:pPr>
            <w:r>
              <w:rPr>
                <w:rFonts w:hint="eastAsia"/>
                <w:sz w:val="22"/>
                <w:szCs w:val="22"/>
              </w:rPr>
              <w:t>EnMS</w:t>
            </w:r>
          </w:p>
        </w:tc>
        <w:tc>
          <w:tcPr>
            <w:tcW w:w="488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038" w:type="dxa"/>
            <w:vMerge w:val="restart"/>
          </w:tcPr>
          <w:p>
            <w:pPr>
              <w:snapToGrid w:val="0"/>
              <w:spacing w:line="0" w:lineRule="atLeast"/>
              <w:jc w:val="left"/>
              <w:rPr>
                <w:sz w:val="22"/>
                <w:szCs w:val="22"/>
              </w:rPr>
            </w:pPr>
            <w:r>
              <w:rPr>
                <w:rFonts w:hint="eastAsia"/>
                <w:sz w:val="22"/>
                <w:szCs w:val="22"/>
              </w:rPr>
              <w:t>No. 999, Xueqin Road, Wuyang Town, Nanchang County, Nanchang City, Jiangxi Province</w:t>
            </w:r>
          </w:p>
        </w:tc>
        <w:tc>
          <w:tcPr>
            <w:tcW w:w="1467" w:type="dxa"/>
          </w:tcPr>
          <w:p>
            <w:pPr>
              <w:snapToGrid w:val="0"/>
              <w:spacing w:line="0" w:lineRule="atLeast"/>
              <w:jc w:val="left"/>
              <w:rPr>
                <w:sz w:val="22"/>
                <w:szCs w:val="22"/>
              </w:rPr>
            </w:pPr>
            <w:r>
              <w:rPr>
                <w:rFonts w:hint="eastAsia"/>
                <w:sz w:val="22"/>
                <w:szCs w:val="22"/>
              </w:rPr>
              <w:t>FSMS</w:t>
            </w:r>
          </w:p>
        </w:tc>
        <w:tc>
          <w:tcPr>
            <w:tcW w:w="488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374" w:hRule="atLeast"/>
        </w:trPr>
        <w:tc>
          <w:tcPr>
            <w:tcW w:w="1576" w:type="dxa"/>
            <w:vMerge w:val="continue"/>
          </w:tcPr>
          <w:p>
            <w:pPr>
              <w:snapToGrid w:val="0"/>
              <w:spacing w:line="0" w:lineRule="atLeast"/>
              <w:jc w:val="left"/>
              <w:rPr>
                <w:rFonts w:cs="Arial"/>
                <w:b/>
                <w:bCs/>
                <w:sz w:val="22"/>
                <w:szCs w:val="16"/>
              </w:rPr>
            </w:pPr>
          </w:p>
        </w:tc>
        <w:tc>
          <w:tcPr>
            <w:tcW w:w="2038" w:type="dxa"/>
            <w:vMerge w:val="continue"/>
          </w:tcPr>
          <w:p>
            <w:pPr>
              <w:snapToGrid w:val="0"/>
              <w:spacing w:line="0" w:lineRule="atLeast"/>
              <w:jc w:val="left"/>
              <w:rPr>
                <w:rFonts w:cs="Arial"/>
                <w:b/>
                <w:bCs/>
                <w:sz w:val="22"/>
                <w:szCs w:val="16"/>
              </w:rPr>
            </w:pPr>
          </w:p>
        </w:tc>
        <w:tc>
          <w:tcPr>
            <w:tcW w:w="1467" w:type="dxa"/>
          </w:tcPr>
          <w:p>
            <w:pPr>
              <w:snapToGrid w:val="0"/>
              <w:spacing w:line="0" w:lineRule="atLeast"/>
              <w:jc w:val="left"/>
              <w:rPr>
                <w:sz w:val="22"/>
                <w:szCs w:val="22"/>
              </w:rPr>
            </w:pPr>
            <w:r>
              <w:rPr>
                <w:rFonts w:hint="eastAsia"/>
                <w:sz w:val="22"/>
                <w:szCs w:val="22"/>
              </w:rPr>
              <w:t>HACCP</w:t>
            </w:r>
          </w:p>
        </w:tc>
        <w:tc>
          <w:tcPr>
            <w:tcW w:w="4881"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8" w:type="dxa"/>
        </w:trPr>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705" w:type="dxa"/>
          </w:tcPr>
          <w:p>
            <w:pPr>
              <w:snapToGrid w:val="0"/>
              <w:spacing w:line="0" w:lineRule="atLeast"/>
              <w:jc w:val="left"/>
              <w:rPr>
                <w:sz w:val="22"/>
                <w:szCs w:val="22"/>
              </w:rPr>
            </w:pPr>
            <w:r>
              <w:rPr>
                <w:rFonts w:hint="eastAsia"/>
                <w:sz w:val="22"/>
                <w:szCs w:val="18"/>
              </w:rPr>
              <w:t>审核组长签字</w:t>
            </w:r>
          </w:p>
        </w:tc>
        <w:tc>
          <w:tcPr>
            <w:tcW w:w="3559" w:type="dxa"/>
            <w:gridSpan w:val="3"/>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ZlMTRjNjVlM2IwMTE4YzYwN2EzYWIwZmRmNTUyYjEifQ=="/>
  </w:docVars>
  <w:rsids>
    <w:rsidRoot w:val="00D53544"/>
    <w:rsid w:val="00557D19"/>
    <w:rsid w:val="007F13B6"/>
    <w:rsid w:val="00D53544"/>
    <w:rsid w:val="56D86389"/>
    <w:rsid w:val="579F62CF"/>
    <w:rsid w:val="685272C6"/>
    <w:rsid w:val="6FFD3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1920</Words>
  <Characters>2380</Characters>
  <Lines>19</Lines>
  <Paragraphs>5</Paragraphs>
  <TotalTime>28</TotalTime>
  <ScaleCrop>false</ScaleCrop>
  <LinksUpToDate>false</LinksUpToDate>
  <CharactersWithSpaces>2541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深情不如久伴</cp:lastModifiedBy>
  <cp:lastPrinted>2019-05-13T03:13:00Z</cp:lastPrinted>
  <dcterms:modified xsi:type="dcterms:W3CDTF">2023-03-06T06:42:13Z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