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136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35859" w14:paraId="60D17DB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69E212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B6B398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江西博锐家具有限公司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B8BA24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6DD3F4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0159-2023-QEO</w:t>
            </w:r>
            <w:bookmarkEnd w:id="1"/>
          </w:p>
        </w:tc>
      </w:tr>
      <w:tr w:rsidR="00735859" w14:paraId="6EB12ED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FD046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42783A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江西省南昌市南昌县武阳镇雪芹路999号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AF23D7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A2BCC2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余妙琴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D42CAA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666540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5859" w14:paraId="75F3F52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1E5F83D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1529C5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943798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C9A59C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8722AE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EE518C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35859" w14:paraId="7F99C1F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B111D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AA7AD9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江西省南昌市南昌县武阳镇雪芹路999号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DBAA3D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C2C34DE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陈佳旺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6F4E03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B4BA22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13617047239</w:t>
            </w:r>
            <w:bookmarkEnd w:id="6"/>
          </w:p>
        </w:tc>
      </w:tr>
      <w:tr w:rsidR="00735859" w14:paraId="0060015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8B3C36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35B2A3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B6E7E5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8F239C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F9E930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17A6AC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13617047239</w:t>
            </w:r>
            <w:bookmarkEnd w:id="7"/>
          </w:p>
        </w:tc>
      </w:tr>
      <w:tr w:rsidR="00735859" w14:paraId="7FFDC00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E20D39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C62A91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35859" w14:paraId="79CCC9B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4BCC33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89A7D7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35859" w14:paraId="7DA1710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063A99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A6D77D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</w:t>
            </w:r>
          </w:p>
          <w:p w14:paraId="649B749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环境管理活动</w:t>
            </w:r>
          </w:p>
          <w:p w14:paraId="3AD44D2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</w:t>
            </w:r>
            <w:r>
              <w:rPr>
                <w:rFonts w:ascii="宋体"/>
                <w:bCs/>
                <w:sz w:val="24"/>
              </w:rPr>
              <w:lastRenderedPageBreak/>
              <w:t>组合床、适老床、上下床)的设计、生产、销售和售后服务（维保、退换货、投诉处理）及金属家具、软体家具的销售和售后服务（维保、退换货、投诉处理）所涉及场所的相关职业健康安全管理活动</w:t>
            </w:r>
            <w:bookmarkEnd w:id="11"/>
          </w:p>
        </w:tc>
      </w:tr>
      <w:tr w:rsidR="00735859" w14:paraId="2C8925B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57A879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是否在</w:t>
            </w:r>
          </w:p>
          <w:p w14:paraId="38B0888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7730A6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363A77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11CCFC8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95C0B0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B20613D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23.01.01;23.01.04;29.12.00</w:t>
            </w:r>
          </w:p>
          <w:p w14:paraId="343F3C80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23.01.01;23.01.04;29.12.00</w:t>
            </w:r>
          </w:p>
          <w:p w14:paraId="7900BE15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23.01.01;23.01.04;29.12.00</w:t>
            </w:r>
            <w:bookmarkEnd w:id="13"/>
          </w:p>
        </w:tc>
      </w:tr>
      <w:tr w:rsidR="00735859" w14:paraId="5B7D3806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477A6B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D442CF3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35859" w14:paraId="20EC88C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DDB1E8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A2F5E3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63F165C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D49BD3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35859" w14:paraId="187CF02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D47EAB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B03958B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38CB80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35859" w14:paraId="0042B6D7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C15316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415093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60F8A2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D33C7B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681B79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96DA661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E948E62" w14:textId="34FEBE0B" w:rsidR="0052442F" w:rsidRDefault="00495D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□否</w:t>
            </w:r>
          </w:p>
          <w:p w14:paraId="542739D0" w14:textId="3A0982D8" w:rsidR="0052442F" w:rsidRDefault="00495DD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FE1D64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5E622F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32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38D8D23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105A2C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Q:32,E:32,O:32</w:t>
            </w:r>
            <w:bookmarkEnd w:id="16"/>
          </w:p>
        </w:tc>
      </w:tr>
      <w:tr w:rsidR="00735859" w14:paraId="329D280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A6D04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340B45F" w14:textId="73A6E25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BF2F7D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4454865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9B1D3B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6145B8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608965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27DA12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89C9C4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B2334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0AF0408" w14:textId="4A2C664A" w:rsidR="0052442F" w:rsidRDefault="00BF2F7D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153A7E5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00DF53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284695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CC9F0D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A296577" w14:textId="2884C8BF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BF2F7D">
              <w:rPr>
                <w:rFonts w:ascii="宋体" w:hAnsi="宋体" w:cs="宋体" w:hint="eastAsia"/>
                <w:bCs/>
                <w:sz w:val="24"/>
              </w:rPr>
              <w:t>/</w:t>
            </w:r>
          </w:p>
          <w:p w14:paraId="71263548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1D70E0E" w14:textId="0886BDAB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F2F7D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BF2F7D">
              <w:rPr>
                <w:rFonts w:ascii="宋体" w:hAnsi="宋体" w:cs="宋体"/>
                <w:bCs/>
                <w:sz w:val="24"/>
              </w:rPr>
              <w:t xml:space="preserve"> 2023</w:t>
            </w:r>
            <w:r w:rsidR="00BF2F7D">
              <w:rPr>
                <w:rFonts w:ascii="宋体" w:hAnsi="宋体" w:cs="宋体" w:hint="eastAsia"/>
                <w:bCs/>
                <w:sz w:val="24"/>
              </w:rPr>
              <w:t>-</w:t>
            </w:r>
            <w:r w:rsidR="00BF2F7D">
              <w:rPr>
                <w:rFonts w:ascii="宋体" w:hAnsi="宋体" w:cs="宋体"/>
                <w:bCs/>
                <w:sz w:val="24"/>
              </w:rPr>
              <w:t>02</w:t>
            </w:r>
            <w:r w:rsidR="00BF2F7D">
              <w:rPr>
                <w:rFonts w:ascii="宋体" w:hAnsi="宋体" w:cs="宋体" w:hint="eastAsia"/>
                <w:bCs/>
                <w:sz w:val="24"/>
              </w:rPr>
              <w:t>-</w:t>
            </w:r>
            <w:r w:rsidR="00BF2F7D">
              <w:rPr>
                <w:rFonts w:ascii="宋体" w:hAnsi="宋体" w:cs="宋体"/>
                <w:bCs/>
                <w:sz w:val="24"/>
              </w:rPr>
              <w:t>26</w:t>
            </w:r>
          </w:p>
          <w:p w14:paraId="1243158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35859" w14:paraId="1B22C7D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216059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1E132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753492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12B2CB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05E915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6FA86EE" w14:textId="6C3B9F56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503B5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13F24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</w:t>
            </w:r>
          </w:p>
          <w:p w14:paraId="4417278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不符合标准及条款：</w:t>
            </w:r>
          </w:p>
          <w:p w14:paraId="47539844" w14:textId="3B479981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BF2F7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D055413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07741E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A28356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73966FC3" w14:textId="6AC2293A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BF2F7D">
              <w:rPr>
                <w:rFonts w:ascii="宋体" w:hAnsi="宋体" w:hint="eastAsia"/>
                <w:sz w:val="24"/>
              </w:rPr>
              <w:t>跟进不符合项的改善。</w:t>
            </w:r>
          </w:p>
          <w:p w14:paraId="6D4A770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CC677F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4F4AF1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9ED20C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9103B75" w14:textId="5D2B6AE6" w:rsidR="0052442F" w:rsidRDefault="00BF2F7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1EC5A90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FF2743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336159C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8BE853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00A0307" w14:textId="03707C1B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F2F7D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BF2F7D">
              <w:rPr>
                <w:rFonts w:ascii="宋体" w:hAnsi="宋体" w:cs="宋体"/>
                <w:bCs/>
                <w:sz w:val="24"/>
              </w:rPr>
              <w:t xml:space="preserve">   2023</w:t>
            </w:r>
            <w:r w:rsidR="00BF2F7D">
              <w:rPr>
                <w:rFonts w:ascii="宋体" w:hAnsi="宋体" w:cs="宋体" w:hint="eastAsia"/>
                <w:bCs/>
                <w:sz w:val="24"/>
              </w:rPr>
              <w:t>-</w:t>
            </w:r>
            <w:r w:rsidR="00BF2F7D">
              <w:rPr>
                <w:rFonts w:ascii="宋体" w:hAnsi="宋体" w:cs="宋体"/>
                <w:bCs/>
                <w:sz w:val="24"/>
              </w:rPr>
              <w:t>03</w:t>
            </w:r>
            <w:r w:rsidR="00BF2F7D">
              <w:rPr>
                <w:rFonts w:ascii="宋体" w:hAnsi="宋体" w:cs="宋体" w:hint="eastAsia"/>
                <w:bCs/>
                <w:sz w:val="24"/>
              </w:rPr>
              <w:t>-</w:t>
            </w:r>
            <w:r w:rsidR="00BF2F7D">
              <w:rPr>
                <w:rFonts w:ascii="宋体" w:hAnsi="宋体" w:cs="宋体"/>
                <w:bCs/>
                <w:sz w:val="24"/>
              </w:rPr>
              <w:t>06</w:t>
            </w:r>
          </w:p>
        </w:tc>
      </w:tr>
      <w:tr w:rsidR="00735859" w14:paraId="70D326A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05826B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35859" w14:paraId="017D14E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F7DE5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BED5D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C1787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DB51F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87E87A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92681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53103A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66A96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35859" w14:paraId="66F5EF4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696D46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35E628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35859" w14:paraId="725B8C7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3E9D0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BEF0BE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CA81F8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8CED8A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35859" w14:paraId="66D4281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D28715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3920F9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56C278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1348D6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82186D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93E47C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553C80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A2D734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CAB861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B43F56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592A2A3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1A14F0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608B7D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35859" w14:paraId="27EF502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4136AA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35859" w14:paraId="0759FC2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E2A6B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C23477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079CA3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B508B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C1425E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BFE50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66EB26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FBFACE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35859" w14:paraId="713D29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2C42C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709E25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35859" w14:paraId="2FBB4DB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27F434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744686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667574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58BD01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35859" w14:paraId="32377130" w14:textId="77777777">
        <w:trPr>
          <w:trHeight w:val="578"/>
          <w:jc w:val="center"/>
        </w:trPr>
        <w:tc>
          <w:tcPr>
            <w:tcW w:w="1381" w:type="dxa"/>
          </w:tcPr>
          <w:p w14:paraId="3FA117E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21F027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AAF3BC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F94BD8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8387A8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9C2532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EFC060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57F5F9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2829D5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7DACDA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010383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94A5B5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49E267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35859" w14:paraId="1380A9C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3FE07D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35859" w14:paraId="5167EA8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9FE71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157909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75273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133563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97FB55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35D26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78A5B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1E24B1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35859" w14:paraId="4756857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A9C2A5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410E60D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35859" w14:paraId="7D934DB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D4C2DE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E88FB4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81D049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C463CB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35859" w14:paraId="2F59809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718F8D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40E184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BC752E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8C38D2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10BF8D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3558BB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3DD0BB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2178CC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C81711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CDC1FF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3C287A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8DA7AA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0A0AEA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7A793C7" w14:textId="77777777" w:rsidR="0052442F" w:rsidRDefault="00000000">
      <w:pPr>
        <w:pStyle w:val="a0"/>
        <w:ind w:firstLine="480"/>
        <w:rPr>
          <w:bCs/>
          <w:sz w:val="24"/>
        </w:rPr>
      </w:pPr>
    </w:p>
    <w:p w14:paraId="12DCF3A1" w14:textId="77777777" w:rsidR="0052442F" w:rsidRDefault="00000000">
      <w:pPr>
        <w:pStyle w:val="a0"/>
        <w:ind w:firstLine="480"/>
        <w:rPr>
          <w:bCs/>
          <w:sz w:val="24"/>
        </w:rPr>
      </w:pPr>
    </w:p>
    <w:p w14:paraId="417B1768" w14:textId="77777777" w:rsidR="0052442F" w:rsidRDefault="00000000">
      <w:pPr>
        <w:pStyle w:val="a0"/>
        <w:ind w:firstLine="480"/>
        <w:rPr>
          <w:bCs/>
          <w:sz w:val="24"/>
        </w:rPr>
      </w:pPr>
    </w:p>
    <w:p w14:paraId="2A3DBD8C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D454" w14:textId="77777777" w:rsidR="000D5407" w:rsidRDefault="000D5407">
      <w:r>
        <w:separator/>
      </w:r>
    </w:p>
  </w:endnote>
  <w:endnote w:type="continuationSeparator" w:id="0">
    <w:p w14:paraId="02B184F7" w14:textId="77777777" w:rsidR="000D5407" w:rsidRDefault="000D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4F70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006B" w14:textId="77777777" w:rsidR="000D5407" w:rsidRDefault="000D5407">
      <w:r>
        <w:separator/>
      </w:r>
    </w:p>
  </w:footnote>
  <w:footnote w:type="continuationSeparator" w:id="0">
    <w:p w14:paraId="4A626076" w14:textId="77777777" w:rsidR="000D5407" w:rsidRDefault="000D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3E53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828ED96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194BAD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DF7CF3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1D1F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52F820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859"/>
    <w:rsid w:val="00076D32"/>
    <w:rsid w:val="000D0C40"/>
    <w:rsid w:val="000D5407"/>
    <w:rsid w:val="00495DD0"/>
    <w:rsid w:val="00513F24"/>
    <w:rsid w:val="005503B5"/>
    <w:rsid w:val="00735859"/>
    <w:rsid w:val="00B13FE8"/>
    <w:rsid w:val="00BF2F7D"/>
    <w:rsid w:val="00CE2856"/>
    <w:rsid w:val="00E0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98572C6"/>
  <w15:docId w15:val="{4D472C23-561E-4307-BC21-26F6C4A0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586</Words>
  <Characters>3342</Characters>
  <Application>Microsoft Office Word</Application>
  <DocSecurity>0</DocSecurity>
  <Lines>27</Lines>
  <Paragraphs>7</Paragraphs>
  <ScaleCrop>false</ScaleCrop>
  <Company>微软中国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25</cp:revision>
  <cp:lastPrinted>2015-12-21T05:08:00Z</cp:lastPrinted>
  <dcterms:created xsi:type="dcterms:W3CDTF">2019-03-19T00:44:00Z</dcterms:created>
  <dcterms:modified xsi:type="dcterms:W3CDTF">2023-03-21T11:50:00Z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