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0152-2023-QEO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河北润峙商贸有限公司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91130982MA7N7DWF0P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带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Q:10,E:10,O:10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color w:val="0000FF"/>
                <w:sz w:val="22"/>
                <w:szCs w:val="22"/>
              </w:rPr>
              <w:t>河北润峙商贸有限公司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审核范围"/>
            <w:r>
              <w:rPr>
                <w:color w:val="0000FF"/>
                <w:sz w:val="22"/>
                <w:szCs w:val="22"/>
              </w:rPr>
              <w:t>Q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E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O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河北省沧州市任丘市新华路街道中央公园1号楼605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河北省沧州市任丘市新华路街道中央公园1号楼605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2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9005" cy="4283710"/>
            <wp:effectExtent l="0" t="0" r="1270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2"/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194265B"/>
    <w:rsid w:val="6BE73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901</Words>
  <Characters>1361</Characters>
  <Lines>18</Lines>
  <Paragraphs>5</Paragraphs>
  <TotalTime>4</TotalTime>
  <ScaleCrop>false</ScaleCrop>
  <LinksUpToDate>false</LinksUpToDate>
  <CharactersWithSpaces>1523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2023-03-02T02:00:23Z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