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0152-2023-QEO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河北润峙商贸有限公司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河北润峙商贸有限公司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河北省沧州市任丘市新华路街道中央公园1号楼605</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河北省沧州市任丘市新华路街道中央公园1号楼605</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代卫松</w:t>
            </w:r>
            <w:bookmarkEnd w:id="10"/>
          </w:p>
        </w:tc>
        <w:tc>
          <w:tcPr>
            <w:tcW w:w="1313" w:type="dxa"/>
            <w:vAlign w:val="center"/>
          </w:tcPr>
          <w:p>
            <w:r>
              <w:rPr>
                <w:rFonts w:hint="eastAsia"/>
              </w:rPr>
              <w:t>电话.</w:t>
            </w:r>
          </w:p>
        </w:tc>
        <w:tc>
          <w:tcPr>
            <w:tcW w:w="2180" w:type="dxa"/>
            <w:vAlign w:val="center"/>
          </w:tcPr>
          <w:p>
            <w:bookmarkStart w:id="11" w:name="联系人电话"/>
            <w:r>
              <w:t>15373379699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代卫松</w:t>
            </w:r>
            <w:bookmarkEnd w:id="13"/>
          </w:p>
        </w:tc>
        <w:tc>
          <w:tcPr>
            <w:tcW w:w="1313" w:type="dxa"/>
            <w:vAlign w:val="center"/>
          </w:tcPr>
          <w:p>
            <w:r>
              <w:rPr>
                <w:rFonts w:hint="eastAsia"/>
              </w:rPr>
              <w:t>管理者代表</w:t>
            </w:r>
          </w:p>
        </w:tc>
        <w:tc>
          <w:tcPr>
            <w:tcW w:w="2180" w:type="dxa"/>
          </w:tcPr>
          <w:p>
            <w:bookmarkStart w:id="14" w:name="管理者代表"/>
            <w:r>
              <w:t>代卫松</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500" w:lineRule="exact"/>
              <w:ind w:firstLine="630" w:firstLineChars="300"/>
              <w:rPr>
                <w:rFonts w:hint="eastAsia" w:ascii="楷体" w:hAnsi="楷体" w:eastAsia="楷体" w:cs="楷体"/>
                <w:sz w:val="21"/>
                <w:szCs w:val="21"/>
                <w:lang w:eastAsia="zh-CN"/>
              </w:rPr>
            </w:pPr>
            <w:r>
              <w:rPr>
                <w:rFonts w:hint="eastAsia" w:ascii="楷体" w:hAnsi="楷体" w:eastAsia="楷体" w:cs="楷体"/>
                <w:sz w:val="21"/>
                <w:szCs w:val="21"/>
                <w:lang w:eastAsia="zh-CN"/>
              </w:rPr>
              <w:t>洽谈 ---签订合同--产品采购---供方发货---客户验收--售后服务</w:t>
            </w:r>
          </w:p>
          <w:p>
            <w:r>
              <w:rPr>
                <w:rFonts w:hint="eastAsia" w:ascii="Times New Roman" w:hAnsi="Times New Roman" w:eastAsia="楷体" w:cs="Times New Roman"/>
                <w:color w:val="auto"/>
                <w:sz w:val="24"/>
                <w:szCs w:val="24"/>
              </w:rPr>
              <w:t>“</w:t>
            </w:r>
            <w:r>
              <w:rPr>
                <w:rFonts w:hint="eastAsia" w:ascii="Times New Roman" w:hAnsi="Times New Roman" w:eastAsia="楷体" w:cs="Times New Roman"/>
                <w:color w:val="auto"/>
                <w:sz w:val="24"/>
                <w:szCs w:val="24"/>
                <w:lang w:val="en-US" w:eastAsia="zh-CN"/>
              </w:rPr>
              <w:t>销售过程</w:t>
            </w:r>
            <w:r>
              <w:rPr>
                <w:rFonts w:hint="eastAsia" w:ascii="Times New Roman" w:hAnsi="Times New Roman" w:eastAsia="楷体" w:cs="Times New Roman"/>
                <w:color w:val="auto"/>
                <w:sz w:val="24"/>
                <w:szCs w:val="24"/>
              </w:rPr>
              <w:t>”需确认</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2023年03月01日 上午至2023年03月02日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7"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r>
              <w:rPr>
                <w:rFonts w:hint="eastAsia"/>
                <w:lang w:eastAsia="zh-CN"/>
              </w:rPr>
              <w:t>□</w:t>
            </w:r>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color w:val="000000"/>
              </w:rPr>
            </w:pPr>
            <w:r>
              <w:rPr>
                <w:sz w:val="21"/>
                <w:szCs w:val="21"/>
              </w:rPr>
              <w:t>河北省沧州市任丘市新华路街道中央公园1号楼605</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电气设备、电力器材、电力金具、带电作业工具、防水材料、保温材料、建筑材料、装饰材料、防护用品、仪器仪表加上，电线电缆、消防器材、办公用品、纸制品、卫生洁具、办公家具、仪器仪表、通讯器材、通讯设备、不锈钢制品、铁艺制品、门窗、计算机及监控设备的销售</w:t>
            </w:r>
          </w:p>
          <w:p>
            <w:r>
              <w:t>E：电气设备、电力器材、电力金具、带电作业工具、防水材料、保温材料、建筑材料、装饰材料、防护用品、仪器仪表加上，电线电缆、消防器材、办公用品、纸制品、卫生洁具、办公家具、仪器仪表、通讯器材、通讯设备、不锈钢制品、铁艺制品、门窗、计算机及监控设备的销售所涉及场所的相关环境管理活动</w:t>
            </w:r>
          </w:p>
          <w:p>
            <w:r>
              <w:t>O：电气设备、电力器材、电力金具、带电作业工具、防水材料、保温材料、建筑材料、装饰材料、防护用品、仪器仪表加上，电线电缆、消防器材、办公用品、纸制品、卫生洁具、办公家具、仪器仪表、通讯器材、通讯设备、不锈钢制品、铁艺制品、门窗、计算机及监控设备的销售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Q：29.12.00</w:t>
            </w:r>
          </w:p>
          <w:p>
            <w:r>
              <w:t>E：29.12.00</w:t>
            </w:r>
          </w:p>
          <w:p>
            <w:r>
              <w:t>O：29.12.00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97"/>
        <w:gridCol w:w="2150"/>
        <w:gridCol w:w="825"/>
        <w:gridCol w:w="2936"/>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97" w:type="dxa"/>
            <w:shd w:val="clear" w:color="auto" w:fill="F3F3F3"/>
            <w:tcMar>
              <w:left w:w="57" w:type="dxa"/>
              <w:right w:w="57" w:type="dxa"/>
            </w:tcMar>
          </w:tcPr>
          <w:p>
            <w:r>
              <w:rPr>
                <w:rFonts w:hint="eastAsia"/>
              </w:rPr>
              <w:t>组织名称及注册场所地址</w:t>
            </w:r>
          </w:p>
        </w:tc>
        <w:tc>
          <w:tcPr>
            <w:tcW w:w="2150" w:type="dxa"/>
            <w:shd w:val="clear" w:color="auto" w:fill="F3F3F3"/>
            <w:tcMar>
              <w:left w:w="57" w:type="dxa"/>
              <w:right w:w="57" w:type="dxa"/>
            </w:tcMar>
          </w:tcPr>
          <w:p>
            <w:r>
              <w:rPr>
                <w:rFonts w:hint="eastAsia"/>
              </w:rPr>
              <w:t>经营场所的地址</w:t>
            </w:r>
          </w:p>
          <w:p>
            <w:r>
              <w:rPr>
                <w:rFonts w:hint="eastAsia"/>
              </w:rPr>
              <w:t>（多现场和临时现场）</w:t>
            </w:r>
          </w:p>
        </w:tc>
        <w:tc>
          <w:tcPr>
            <w:tcW w:w="825" w:type="dxa"/>
            <w:shd w:val="clear" w:color="auto" w:fill="F3F3F3"/>
            <w:tcMar>
              <w:left w:w="57" w:type="dxa"/>
              <w:right w:w="57" w:type="dxa"/>
            </w:tcMar>
          </w:tcPr>
          <w:p>
            <w:r>
              <w:rPr>
                <w:rFonts w:hint="eastAsia"/>
              </w:rPr>
              <w:t>员工人数</w:t>
            </w:r>
          </w:p>
        </w:tc>
        <w:tc>
          <w:tcPr>
            <w:tcW w:w="2936"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97" w:type="dxa"/>
          </w:tcPr>
          <w:p>
            <w:pPr>
              <w:rPr>
                <w:rFonts w:hint="eastAsia"/>
                <w:lang w:val="de-DE" w:eastAsia="ja-JP"/>
              </w:rPr>
            </w:pPr>
            <w:r>
              <w:rPr>
                <w:rFonts w:hint="eastAsia"/>
                <w:lang w:val="de-DE" w:eastAsia="ja-JP"/>
              </w:rPr>
              <w:t>河北润峙商贸有限公司</w:t>
            </w:r>
          </w:p>
          <w:p>
            <w:pPr>
              <w:rPr>
                <w:lang w:val="de-DE" w:eastAsia="ja-JP"/>
              </w:rPr>
            </w:pPr>
            <w:r>
              <w:rPr>
                <w:rFonts w:hint="eastAsia"/>
                <w:lang w:val="de-DE" w:eastAsia="ja-JP"/>
              </w:rPr>
              <w:t>河北省沧州市任丘市新华路街道中央公园1号楼605</w:t>
            </w:r>
          </w:p>
        </w:tc>
        <w:tc>
          <w:tcPr>
            <w:tcW w:w="2150" w:type="dxa"/>
          </w:tcPr>
          <w:p>
            <w:pPr>
              <w:rPr>
                <w:lang w:val="de-DE" w:eastAsia="ja-JP"/>
              </w:rPr>
            </w:pPr>
            <w:r>
              <w:rPr>
                <w:rFonts w:hint="eastAsia"/>
                <w:lang w:val="de-DE" w:eastAsia="ja-JP"/>
              </w:rPr>
              <w:t>河北省沧州市任丘市新华路街道中央公园1号楼605</w:t>
            </w:r>
          </w:p>
        </w:tc>
        <w:tc>
          <w:tcPr>
            <w:tcW w:w="825" w:type="dxa"/>
            <w:vAlign w:val="center"/>
          </w:tcPr>
          <w:p>
            <w:pPr>
              <w:rPr>
                <w:rFonts w:hint="default" w:eastAsia="宋体"/>
                <w:lang w:val="en-US" w:eastAsia="zh-CN"/>
              </w:rPr>
            </w:pPr>
            <w:r>
              <w:rPr>
                <w:rFonts w:hint="eastAsia"/>
                <w:lang w:val="en-US" w:eastAsia="zh-CN"/>
              </w:rPr>
              <w:t>10</w:t>
            </w:r>
          </w:p>
        </w:tc>
        <w:tc>
          <w:tcPr>
            <w:tcW w:w="2936" w:type="dxa"/>
            <w:vAlign w:val="center"/>
          </w:tcPr>
          <w:p>
            <w:r>
              <w:t>Q：电气设备、电力器材、电力金具、带电作业工具、防水材料、保温材料、建筑材料、装饰材料、防护用品、仪器仪表加上，电线电缆、消防器材、办公用品、纸制品、卫生洁具、办公家具、仪器仪表、通讯器材、通讯设备、不锈钢制品、铁艺制品、门窗、计算机及监控设备的销售</w:t>
            </w:r>
          </w:p>
          <w:p>
            <w:r>
              <w:t>E：电气设备、电力器材、电力金具、带电作业工具、防水材料、保温材料、建筑材料、装饰材料、防护用品、仪器仪表加上，电线电缆、消防器材、办公用品、纸制品、卫生洁具、办公家具、仪器仪表、通讯器材、通讯设备、不锈钢制品、铁艺制品、门窗、计算机及监控设备的销售所涉及场所的相关环境管理活动</w:t>
            </w:r>
          </w:p>
          <w:p>
            <w:pPr>
              <w:spacing w:line="440" w:lineRule="exact"/>
              <w:rPr>
                <w:color w:val="000000"/>
                <w:szCs w:val="21"/>
              </w:rPr>
            </w:pPr>
            <w:r>
              <w:t>O：电气设备、电力器材、电力金具、带电作业工具、防水材料、保温材料、建筑材料、装饰材料、防护用品、仪器仪表加上，电线电缆、消防器材、办公用品、纸制品、卫生洁具、办公家具、仪器仪表、通讯器材、通讯设备、不锈钢制品、铁艺制品、门窗、计算机及监控设备的销售所涉及场所的相关职业健康安全管理活动</w:t>
            </w:r>
            <w:r>
              <w:rPr>
                <w:rFonts w:hint="eastAsia"/>
                <w:color w:val="000000"/>
                <w:szCs w:val="21"/>
              </w:rPr>
              <w:t>；</w:t>
            </w:r>
          </w:p>
          <w:p>
            <w:pPr>
              <w:pStyle w:val="2"/>
              <w:rPr>
                <w:lang w:eastAsia="ja-JP"/>
              </w:rPr>
            </w:pPr>
          </w:p>
        </w:tc>
        <w:tc>
          <w:tcPr>
            <w:tcW w:w="669" w:type="dxa"/>
            <w:vAlign w:val="center"/>
          </w:tcPr>
          <w:p>
            <w:pPr>
              <w:rPr>
                <w:rFonts w:hint="eastAsia"/>
                <w:lang w:val="de-DE"/>
              </w:rPr>
            </w:pPr>
            <w:r>
              <w:rPr>
                <w:rFonts w:hint="eastAsia"/>
                <w:lang w:val="de-DE"/>
              </w:rPr>
              <w:t>GB/T19001-2016</w:t>
            </w:r>
          </w:p>
          <w:p>
            <w:pPr>
              <w:pStyle w:val="2"/>
              <w:rPr>
                <w:rFonts w:hint="eastAsia"/>
                <w:lang w:val="de-DE"/>
              </w:rPr>
            </w:pPr>
            <w:r>
              <w:rPr>
                <w:rFonts w:hint="eastAsia"/>
                <w:lang w:val="de-DE"/>
              </w:rPr>
              <w:t>GB/T24001-2016</w:t>
            </w:r>
          </w:p>
          <w:p>
            <w:pPr>
              <w:pStyle w:val="2"/>
              <w:rPr>
                <w:rFonts w:hint="eastAsia"/>
                <w:lang w:val="de-DE"/>
              </w:rPr>
            </w:pPr>
            <w:r>
              <w:rPr>
                <w:rFonts w:hint="eastAsia"/>
              </w:rPr>
              <w:t>GB/T 45001-2020</w:t>
            </w:r>
          </w:p>
          <w:p>
            <w:pPr>
              <w:pStyle w:val="2"/>
              <w:rPr>
                <w:rFonts w:hint="eastAsia"/>
                <w:lang w:val="de-DE" w:eastAsia="ja-JP"/>
              </w:rPr>
            </w:pP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997" w:type="dxa"/>
            <w:vAlign w:val="center"/>
          </w:tcPr>
          <w:p>
            <w:pPr>
              <w:rPr>
                <w:lang w:eastAsia="ja-JP"/>
              </w:rPr>
            </w:pPr>
          </w:p>
        </w:tc>
        <w:tc>
          <w:tcPr>
            <w:tcW w:w="2150" w:type="dxa"/>
            <w:vAlign w:val="center"/>
          </w:tcPr>
          <w:p>
            <w:pPr>
              <w:rPr>
                <w:lang w:eastAsia="ja-JP"/>
              </w:rPr>
            </w:pPr>
          </w:p>
        </w:tc>
        <w:tc>
          <w:tcPr>
            <w:tcW w:w="825" w:type="dxa"/>
            <w:vAlign w:val="center"/>
          </w:tcPr>
          <w:p>
            <w:pPr>
              <w:rPr>
                <w:lang w:eastAsia="ja-JP"/>
              </w:rPr>
            </w:pPr>
          </w:p>
        </w:tc>
        <w:tc>
          <w:tcPr>
            <w:tcW w:w="2936"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997" w:type="dxa"/>
            <w:vAlign w:val="center"/>
          </w:tcPr>
          <w:p>
            <w:pPr>
              <w:rPr>
                <w:lang w:eastAsia="ja-JP"/>
              </w:rPr>
            </w:pPr>
          </w:p>
        </w:tc>
        <w:tc>
          <w:tcPr>
            <w:tcW w:w="2150" w:type="dxa"/>
            <w:vAlign w:val="center"/>
          </w:tcPr>
          <w:p>
            <w:pPr>
              <w:rPr>
                <w:lang w:eastAsia="ja-JP"/>
              </w:rPr>
            </w:pPr>
          </w:p>
        </w:tc>
        <w:tc>
          <w:tcPr>
            <w:tcW w:w="825" w:type="dxa"/>
            <w:vAlign w:val="center"/>
          </w:tcPr>
          <w:p>
            <w:pPr>
              <w:rPr>
                <w:lang w:eastAsia="ja-JP"/>
              </w:rPr>
            </w:pPr>
          </w:p>
        </w:tc>
        <w:tc>
          <w:tcPr>
            <w:tcW w:w="2936"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997" w:type="dxa"/>
            <w:vAlign w:val="center"/>
          </w:tcPr>
          <w:p>
            <w:pPr>
              <w:rPr>
                <w:lang w:eastAsia="ja-JP"/>
              </w:rPr>
            </w:pPr>
          </w:p>
        </w:tc>
        <w:tc>
          <w:tcPr>
            <w:tcW w:w="2150" w:type="dxa"/>
            <w:vAlign w:val="center"/>
          </w:tcPr>
          <w:p>
            <w:pPr>
              <w:rPr>
                <w:lang w:eastAsia="ja-JP"/>
              </w:rPr>
            </w:pPr>
          </w:p>
        </w:tc>
        <w:tc>
          <w:tcPr>
            <w:tcW w:w="825" w:type="dxa"/>
            <w:vAlign w:val="center"/>
          </w:tcPr>
          <w:p>
            <w:pPr>
              <w:rPr>
                <w:lang w:eastAsia="ja-JP"/>
              </w:rPr>
            </w:pPr>
          </w:p>
        </w:tc>
        <w:tc>
          <w:tcPr>
            <w:tcW w:w="2936"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997" w:type="dxa"/>
            <w:vAlign w:val="center"/>
          </w:tcPr>
          <w:p>
            <w:pPr>
              <w:rPr>
                <w:lang w:eastAsia="ja-JP"/>
              </w:rPr>
            </w:pPr>
          </w:p>
        </w:tc>
        <w:tc>
          <w:tcPr>
            <w:tcW w:w="2150" w:type="dxa"/>
            <w:vAlign w:val="center"/>
          </w:tcPr>
          <w:p>
            <w:pPr>
              <w:rPr>
                <w:lang w:eastAsia="ja-JP"/>
              </w:rPr>
            </w:pPr>
          </w:p>
        </w:tc>
        <w:tc>
          <w:tcPr>
            <w:tcW w:w="825" w:type="dxa"/>
            <w:vAlign w:val="center"/>
          </w:tcPr>
          <w:p>
            <w:pPr>
              <w:rPr>
                <w:lang w:eastAsia="ja-JP"/>
              </w:rPr>
            </w:pPr>
          </w:p>
        </w:tc>
        <w:tc>
          <w:tcPr>
            <w:tcW w:w="2936"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p>
            <w:r>
              <w:t>2021-N1EMS-1244880</w:t>
            </w:r>
          </w:p>
          <w:p>
            <w:r>
              <w:t>2022-N1OHSMS-1244880</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2020-N1QMS-1263722</w:t>
            </w:r>
          </w:p>
          <w:p>
            <w:r>
              <w:t>2020-N1EMS-1263722</w:t>
            </w:r>
          </w:p>
          <w:p>
            <w:r>
              <w:t>2023-N0OHSMS-1263722</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vAlign w:val="top"/>
          </w:tcPr>
          <w:p>
            <w:pPr>
              <w:rPr>
                <w:rFonts w:hint="default" w:ascii="Times New Roman" w:hAnsi="Times New Roman" w:eastAsia="宋体" w:cs="Times New Roman"/>
                <w:kern w:val="2"/>
                <w:sz w:val="21"/>
                <w:szCs w:val="24"/>
                <w:lang w:val="en-US" w:eastAsia="zh-CN" w:bidi="ar-SA"/>
              </w:rPr>
            </w:pPr>
          </w:p>
        </w:tc>
        <w:tc>
          <w:tcPr>
            <w:tcW w:w="1717" w:type="dxa"/>
            <w:vAlign w:val="top"/>
          </w:tcPr>
          <w:p>
            <w:pPr>
              <w:rPr>
                <w:rFonts w:hint="eastAsia"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val="en-US" w:eastAsia="zh-CN"/>
              </w:rPr>
            </w:pPr>
            <w:r>
              <w:rPr>
                <w:rFonts w:hint="eastAsia"/>
                <w:lang w:val="en-US" w:eastAsia="zh-CN"/>
              </w:rPr>
              <w:t>周文廷</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2023.3.3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360" w:lineRule="auto"/>
              <w:rPr>
                <w:rFonts w:hAnsi="楷体" w:eastAsia="楷体"/>
                <w:b/>
                <w:sz w:val="24"/>
                <w:szCs w:val="24"/>
              </w:rPr>
            </w:pPr>
            <w:r>
              <w:rPr>
                <w:rFonts w:hAnsi="楷体" w:eastAsia="楷体"/>
                <w:b/>
                <w:sz w:val="24"/>
                <w:szCs w:val="24"/>
              </w:rPr>
              <w:t>质量方针：</w:t>
            </w:r>
          </w:p>
          <w:p>
            <w:pPr>
              <w:spacing w:line="360" w:lineRule="auto"/>
              <w:rPr>
                <w:rFonts w:hint="eastAsia" w:hAnsi="楷体" w:eastAsia="楷体"/>
                <w:b/>
                <w:sz w:val="24"/>
                <w:szCs w:val="24"/>
              </w:rPr>
            </w:pPr>
            <w:r>
              <w:rPr>
                <w:rFonts w:hint="eastAsia" w:hAnsi="楷体" w:eastAsia="楷体"/>
                <w:b/>
                <w:sz w:val="24"/>
                <w:szCs w:val="24"/>
              </w:rPr>
              <w:t>客户第一、服务至上</w:t>
            </w:r>
          </w:p>
          <w:p>
            <w:pPr>
              <w:spacing w:line="360" w:lineRule="auto"/>
              <w:rPr>
                <w:rFonts w:hAnsi="楷体" w:eastAsia="楷体"/>
                <w:b/>
                <w:sz w:val="24"/>
                <w:szCs w:val="24"/>
              </w:rPr>
            </w:pPr>
            <w:r>
              <w:rPr>
                <w:rFonts w:hAnsi="楷体" w:eastAsia="楷体"/>
                <w:b/>
                <w:sz w:val="24"/>
                <w:szCs w:val="24"/>
              </w:rPr>
              <w:t>环境方针：</w:t>
            </w:r>
          </w:p>
          <w:p>
            <w:pPr>
              <w:spacing w:line="360" w:lineRule="auto"/>
              <w:rPr>
                <w:rFonts w:hAnsi="楷体" w:eastAsia="楷体"/>
                <w:b/>
                <w:sz w:val="24"/>
                <w:szCs w:val="24"/>
              </w:rPr>
            </w:pPr>
            <w:r>
              <w:rPr>
                <w:rFonts w:hAnsi="楷体" w:eastAsia="楷体"/>
                <w:b/>
                <w:sz w:val="24"/>
                <w:szCs w:val="24"/>
              </w:rPr>
              <w:t>环保、高效、节能、减排</w:t>
            </w:r>
          </w:p>
          <w:p>
            <w:pPr>
              <w:spacing w:line="360" w:lineRule="auto"/>
              <w:rPr>
                <w:rFonts w:hAnsi="楷体" w:eastAsia="楷体"/>
                <w:b/>
                <w:sz w:val="24"/>
                <w:szCs w:val="24"/>
              </w:rPr>
            </w:pPr>
            <w:r>
              <w:rPr>
                <w:rFonts w:hAnsi="楷体" w:eastAsia="楷体"/>
                <w:b/>
                <w:sz w:val="24"/>
                <w:szCs w:val="24"/>
              </w:rPr>
              <w:t>职业健康安全方针：</w:t>
            </w:r>
          </w:p>
          <w:p>
            <w:pPr>
              <w:spacing w:line="360" w:lineRule="auto"/>
              <w:rPr>
                <w:u w:val="single"/>
              </w:rPr>
            </w:pPr>
            <w:r>
              <w:rPr>
                <w:rFonts w:hAnsi="楷体" w:eastAsia="楷体"/>
                <w:b/>
                <w:sz w:val="24"/>
                <w:szCs w:val="24"/>
              </w:rPr>
              <w:t>预防为主、安全第一</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965"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2供销部门加大市场开拓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机遇：所采购产品可能会降价</w:t>
                  </w:r>
                </w:p>
              </w:tc>
              <w:tc>
                <w:tcPr>
                  <w:tcW w:w="3965"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公司目前主要销售产品承接产品市场占有份额一般，销售此类产品企业较多，造成产品利润少</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机遇：市场竞争加剧，发展压力加大</w:t>
                  </w:r>
                </w:p>
              </w:tc>
              <w:tc>
                <w:tcPr>
                  <w:tcW w:w="3965"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napToGrid w:val="0"/>
                    <w:spacing w:line="360" w:lineRule="auto"/>
                    <w:jc w:val="left"/>
                    <w:rPr>
                      <w:rFonts w:ascii="Times New Roman" w:hAnsi="Times New Roman" w:eastAsia="宋体" w:cs="Times New Roman"/>
                      <w:color w:val="auto"/>
                      <w:kern w:val="2"/>
                      <w:sz w:val="21"/>
                      <w:szCs w:val="18"/>
                      <w:highlight w:val="cyan"/>
                      <w:lang w:val="en-US" w:eastAsia="zh-CN" w:bidi="ar-SA"/>
                    </w:rPr>
                  </w:pPr>
                  <w:r>
                    <w:rPr>
                      <w:rFonts w:ascii="楷体" w:hAnsi="楷体" w:eastAsia="楷体"/>
                      <w:color w:val="auto"/>
                      <w:sz w:val="21"/>
                      <w:szCs w:val="21"/>
                    </w:rPr>
                    <w:t>体系文件受控100%；</w:t>
                  </w:r>
                </w:p>
              </w:tc>
              <w:tc>
                <w:tcPr>
                  <w:tcW w:w="3136" w:type="dxa"/>
                  <w:shd w:val="clear" w:color="auto" w:fill="auto"/>
                  <w:vAlign w:val="top"/>
                </w:tcPr>
                <w:p>
                  <w:pPr>
                    <w:widowControl/>
                    <w:spacing w:before="40"/>
                    <w:jc w:val="left"/>
                    <w:rPr>
                      <w:rFonts w:hint="eastAsia" w:ascii="楷体" w:hAnsi="楷体" w:eastAsia="楷体" w:cs="Times New Roman"/>
                      <w:kern w:val="2"/>
                      <w:sz w:val="21"/>
                      <w:szCs w:val="21"/>
                      <w:lang w:val="en-GB" w:eastAsia="zh-CN" w:bidi="ar-SA"/>
                    </w:rPr>
                  </w:pPr>
                  <w:r>
                    <w:rPr>
                      <w:rFonts w:hint="eastAsia" w:ascii="楷体" w:hAnsi="楷体" w:eastAsia="楷体"/>
                      <w:szCs w:val="21"/>
                    </w:rPr>
                    <w:t>实际受控文件╱总受控文件*100%</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US" w:eastAsia="zh-CN" w:bidi="ar-SA"/>
                    </w:rPr>
                    <w:t>办公室</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GB" w:eastAsia="zh-CN" w:bidi="ar-SA"/>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napToGrid w:val="0"/>
                    <w:spacing w:line="360" w:lineRule="auto"/>
                    <w:jc w:val="left"/>
                    <w:rPr>
                      <w:rFonts w:ascii="Times New Roman" w:hAnsi="Times New Roman" w:eastAsia="宋体" w:cs="Times New Roman"/>
                      <w:color w:val="auto"/>
                      <w:kern w:val="2"/>
                      <w:sz w:val="21"/>
                      <w:szCs w:val="18"/>
                      <w:highlight w:val="cyan"/>
                      <w:lang w:val="en-US" w:eastAsia="zh-CN" w:bidi="ar-SA"/>
                    </w:rPr>
                  </w:pPr>
                  <w:r>
                    <w:rPr>
                      <w:rFonts w:ascii="楷体" w:hAnsi="楷体" w:eastAsia="楷体"/>
                      <w:color w:val="auto"/>
                      <w:sz w:val="21"/>
                      <w:szCs w:val="21"/>
                    </w:rPr>
                    <w:t>顾客满意度≥</w:t>
                  </w:r>
                  <w:r>
                    <w:rPr>
                      <w:rFonts w:hint="eastAsia" w:ascii="楷体" w:hAnsi="楷体" w:eastAsia="楷体"/>
                      <w:color w:val="auto"/>
                      <w:sz w:val="21"/>
                      <w:szCs w:val="21"/>
                      <w:lang w:val="en-US" w:eastAsia="zh-CN"/>
                    </w:rPr>
                    <w:t>80</w:t>
                  </w:r>
                  <w:r>
                    <w:rPr>
                      <w:rFonts w:ascii="楷体" w:hAnsi="楷体" w:eastAsia="楷体"/>
                      <w:color w:val="auto"/>
                      <w:sz w:val="21"/>
                      <w:szCs w:val="21"/>
                    </w:rPr>
                    <w:t>%；并逐年提高</w:t>
                  </w:r>
                </w:p>
              </w:tc>
              <w:tc>
                <w:tcPr>
                  <w:tcW w:w="3136" w:type="dxa"/>
                  <w:shd w:val="clear" w:color="auto" w:fill="auto"/>
                  <w:vAlign w:val="top"/>
                </w:tcPr>
                <w:p>
                  <w:pPr>
                    <w:widowControl/>
                    <w:spacing w:before="40"/>
                    <w:jc w:val="left"/>
                    <w:rPr>
                      <w:rFonts w:hint="eastAsia" w:ascii="楷体" w:hAnsi="楷体" w:eastAsia="楷体"/>
                      <w:szCs w:val="21"/>
                    </w:rPr>
                  </w:pPr>
                  <w:r>
                    <w:rPr>
                      <w:rFonts w:hint="eastAsia" w:ascii="楷体" w:hAnsi="楷体" w:eastAsia="楷体"/>
                      <w:szCs w:val="21"/>
                    </w:rPr>
                    <w:t>满意度总得分╱调查顾客数*100%</w:t>
                  </w:r>
                </w:p>
                <w:p>
                  <w:pPr>
                    <w:widowControl/>
                    <w:spacing w:before="40"/>
                    <w:jc w:val="left"/>
                    <w:rPr>
                      <w:rFonts w:ascii="Times New Roman" w:hAnsi="Times New Roman" w:eastAsia="宋体" w:cs="Times New Roman"/>
                      <w:color w:val="000000"/>
                      <w:kern w:val="2"/>
                      <w:sz w:val="21"/>
                      <w:szCs w:val="18"/>
                      <w:highlight w:val="cyan"/>
                      <w:lang w:val="en-US" w:eastAsia="zh-CN" w:bidi="ar-SA"/>
                    </w:rPr>
                  </w:pP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US" w:eastAsia="zh-CN" w:bidi="ar-SA"/>
                    </w:rPr>
                    <w:t>供销部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napToGrid w:val="0"/>
                    <w:spacing w:line="360" w:lineRule="auto"/>
                    <w:jc w:val="left"/>
                    <w:rPr>
                      <w:rFonts w:ascii="Times New Roman" w:hAnsi="Times New Roman" w:eastAsia="宋体" w:cs="Times New Roman"/>
                      <w:color w:val="000000"/>
                      <w:kern w:val="2"/>
                      <w:sz w:val="21"/>
                      <w:szCs w:val="18"/>
                      <w:highlight w:val="cyan"/>
                      <w:lang w:val="en-US" w:eastAsia="zh-CN" w:bidi="ar-SA"/>
                    </w:rPr>
                  </w:pPr>
                  <w:r>
                    <w:rPr>
                      <w:rFonts w:ascii="楷体" w:hAnsi="楷体" w:eastAsia="楷体"/>
                      <w:sz w:val="21"/>
                      <w:szCs w:val="21"/>
                    </w:rPr>
                    <w:t>及时处理顾客反馈信息率100%；</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楷体" w:hAnsi="楷体" w:eastAsia="楷体"/>
                      <w:szCs w:val="21"/>
                    </w:rPr>
                    <w:t>及时处理次数╱投诉总次数*100%</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US" w:eastAsia="zh-CN" w:bidi="ar-SA"/>
                    </w:rPr>
                    <w:t>供销部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ascii="楷体" w:hAnsi="楷体" w:eastAsia="楷体"/>
                      <w:sz w:val="21"/>
                      <w:szCs w:val="21"/>
                    </w:rPr>
                    <w:t>售后服务</w:t>
                  </w:r>
                  <w:r>
                    <w:rPr>
                      <w:rFonts w:hint="eastAsia" w:ascii="楷体" w:hAnsi="楷体" w:eastAsia="楷体"/>
                      <w:sz w:val="21"/>
                      <w:szCs w:val="21"/>
                      <w:lang w:val="en-US" w:eastAsia="zh-CN"/>
                    </w:rPr>
                    <w:t>满意度100</w:t>
                  </w:r>
                  <w:r>
                    <w:rPr>
                      <w:rFonts w:ascii="楷体" w:hAnsi="楷体" w:eastAsia="楷体"/>
                      <w:sz w:val="21"/>
                      <w:szCs w:val="21"/>
                    </w:rPr>
                    <w:t>％</w:t>
                  </w:r>
                  <w:r>
                    <w:rPr>
                      <w:rFonts w:eastAsia="楷体"/>
                      <w:b/>
                      <w:bCs/>
                      <w:color w:val="000000"/>
                      <w:sz w:val="21"/>
                      <w:szCs w:val="21"/>
                    </w:rPr>
                    <w:t>。</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楷体" w:hAnsi="楷体" w:eastAsia="楷体"/>
                      <w:szCs w:val="21"/>
                    </w:rPr>
                    <w:t>按照实际测量</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US" w:eastAsia="zh-CN" w:bidi="ar-SA"/>
                    </w:rPr>
                    <w:t>供销部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lang w:val="en-US" w:eastAsia="zh-CN"/>
              </w:rPr>
              <w:t>办公设施</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无</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rFonts w:hint="eastAsia" w:eastAsia="宋体"/>
                <w:lang w:val="en-US" w:eastAsia="zh-CN"/>
              </w:rPr>
            </w:pPr>
            <w:r>
              <w:rPr>
                <w:rFonts w:hint="eastAsia"/>
              </w:rPr>
              <w:t xml:space="preserve">内部知识: </w:t>
            </w:r>
            <w:r>
              <w:rPr>
                <w:rFonts w:hint="eastAsia" w:ascii="Wingdings" w:hAnsi="Wingdings"/>
                <w:lang w:val="en-US" w:eastAsia="zh-CN"/>
              </w:rPr>
              <w:t xml:space="preserve"> </w:t>
            </w:r>
            <w:r>
              <w:rPr>
                <w:rFonts w:hint="eastAsia" w:ascii="Wingdings" w:hAnsi="Wingdings"/>
              </w:rPr>
              <w:t>¨</w:t>
            </w:r>
            <w:r>
              <w:rPr>
                <w:rFonts w:hint="eastAsia"/>
              </w:rPr>
              <w:t>市场预测</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eastAsia="宋体"/>
                <w:lang w:eastAsia="zh-CN"/>
              </w:rPr>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val="en-US" w:eastAsia="zh-CN"/>
              </w:rPr>
              <w:t xml:space="preserve"> 无</w:t>
            </w:r>
          </w:p>
          <w:p>
            <w:pPr>
              <w:shd w:val="clear" w:color="auto" w:fill="C7DAF1" w:themeFill="text2" w:themeFillTint="32"/>
              <w:rPr>
                <w:rFonts w:hint="default" w:eastAsia="宋体"/>
                <w:lang w:val="en-US" w:eastAsia="zh-CN"/>
              </w:rPr>
            </w:pPr>
            <w:r>
              <w:rPr>
                <w:rFonts w:hint="eastAsia"/>
              </w:rPr>
              <w:t>特种设备作业人员：</w:t>
            </w:r>
            <w:r>
              <w:rPr>
                <w:rFonts w:hint="eastAsia" w:ascii="Wingdings" w:hAnsi="Wingdings"/>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hint="eastAsia" w:eastAsia="宋体"/>
                <w:lang w:eastAsia="zh-CN"/>
              </w:rPr>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rFonts w:hint="eastAsia" w:eastAsia="宋体"/>
                <w:lang w:eastAsia="zh-CN"/>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eastAsia="宋体"/>
                <w:lang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ascii="楷体" w:hAnsi="楷体" w:eastAsia="楷体" w:cs="楷体"/>
                <w:sz w:val="21"/>
                <w:szCs w:val="21"/>
                <w:u w:val="single"/>
                <w:lang w:val="en-US" w:eastAsia="zh-CN"/>
              </w:rPr>
              <w:t>查到外来文件清单，发现收录的“中华人民共和国固体废物污染环境防治法、中华人民共和国消防法”已过期未及时更新</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lang w:val="en-US"/>
              </w:rPr>
            </w:pPr>
            <w:r>
              <w:rPr>
                <w:rFonts w:hint="eastAsia"/>
              </w:rPr>
              <w:t>□法律法规获取充分，</w:t>
            </w:r>
            <w:r>
              <w:rPr>
                <w:rFonts w:hint="eastAsia"/>
                <w:lang w:eastAsia="zh-CN"/>
              </w:rPr>
              <w:t>☑</w:t>
            </w:r>
            <w:r>
              <w:rPr>
                <w:rFonts w:hint="eastAsia" w:ascii="楷体" w:hAnsi="楷体" w:eastAsia="楷体" w:cs="楷体"/>
                <w:sz w:val="21"/>
                <w:szCs w:val="21"/>
                <w:u w:val="single"/>
                <w:lang w:val="en-US" w:eastAsia="zh-CN"/>
              </w:rPr>
              <w:t>查到外来文件清单，发现收录的“中华人民共和国固体废物污染环境防治法、中华人民共和国消防法”已过期未及时更新，已开不符合</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rPr>
                <w:rFonts w:hint="eastAsia" w:eastAsia="宋体"/>
                <w:lang w:eastAsia="zh-CN"/>
              </w:rPr>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lang w:val="en-US" w:eastAsia="zh-CN"/>
              </w:rPr>
              <w:t xml:space="preserve"> </w:t>
            </w:r>
            <w:r>
              <w:rPr>
                <w:rFonts w:hint="eastAsia"/>
              </w:rPr>
              <w:t>运输</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5"/>
              <w:gridCol w:w="1700"/>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5" w:type="dxa"/>
                </w:tcPr>
                <w:p>
                  <w:pPr>
                    <w:shd w:val="clear" w:color="auto" w:fill="C7DAF1" w:themeFill="text2" w:themeFillTint="32"/>
                    <w:jc w:val="left"/>
                  </w:pPr>
                  <w:r>
                    <w:rPr>
                      <w:rFonts w:hint="eastAsia"/>
                    </w:rPr>
                    <w:t>产品/服务名称</w:t>
                  </w:r>
                </w:p>
              </w:tc>
              <w:tc>
                <w:tcPr>
                  <w:tcW w:w="1700" w:type="dxa"/>
                </w:tcPr>
                <w:p>
                  <w:pPr>
                    <w:shd w:val="clear" w:color="auto" w:fill="C7DAF1" w:themeFill="text2" w:themeFillTint="32"/>
                    <w:jc w:val="left"/>
                  </w:pPr>
                  <w:r>
                    <w:rPr>
                      <w:rFonts w:hint="eastAsia"/>
                    </w:rPr>
                    <w:t>关键过程</w:t>
                  </w:r>
                </w:p>
              </w:tc>
              <w:tc>
                <w:tcPr>
                  <w:tcW w:w="2347"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5" w:type="dxa"/>
                </w:tcPr>
                <w:p>
                  <w:pPr>
                    <w:rPr>
                      <w:rFonts w:hint="eastAsia" w:eastAsia="宋体"/>
                      <w:color w:val="000000"/>
                      <w:szCs w:val="21"/>
                      <w:lang w:val="en-US" w:eastAsia="zh-CN"/>
                    </w:rPr>
                  </w:pPr>
                  <w:r>
                    <w:t>电气设备、电力器材、电力金具、带电作业工具、防水材料、保温材料、建筑材料、装饰材料、防护用品、仪器仪表加上，电线电缆、消防器材、办公用品、纸制品、卫生洁具、办公家具、仪器仪表、通讯器材、通讯设备、不锈钢制品、铁艺制品、门窗、计算机及监控设备的销售</w:t>
                  </w:r>
                  <w:r>
                    <w:rPr>
                      <w:rFonts w:hint="eastAsia"/>
                      <w:lang w:val="en-US" w:eastAsia="zh-CN"/>
                    </w:rPr>
                    <w:t>及相关的管理体系管理活动</w:t>
                  </w:r>
                </w:p>
                <w:p>
                  <w:pPr>
                    <w:shd w:val="clear" w:color="auto" w:fill="C7DAF1" w:themeFill="text2" w:themeFillTint="32"/>
                    <w:jc w:val="left"/>
                  </w:pPr>
                </w:p>
              </w:tc>
              <w:tc>
                <w:tcPr>
                  <w:tcW w:w="1700"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业务洽谈</w:t>
                  </w:r>
                </w:p>
              </w:tc>
              <w:tc>
                <w:tcPr>
                  <w:tcW w:w="2347"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color w:val="000000"/>
                      <w:u w:val="single"/>
                      <w:lang w:val="en-US" w:eastAsia="zh-CN"/>
                    </w:rPr>
                    <w:t>订单执行时间、需求数量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5" w:type="dxa"/>
                </w:tcPr>
                <w:p>
                  <w:pPr>
                    <w:shd w:val="clear" w:color="auto" w:fill="C7DAF1" w:themeFill="text2" w:themeFillTint="32"/>
                    <w:jc w:val="left"/>
                  </w:pPr>
                </w:p>
              </w:tc>
              <w:tc>
                <w:tcPr>
                  <w:tcW w:w="1700" w:type="dxa"/>
                </w:tcPr>
                <w:p>
                  <w:pPr>
                    <w:shd w:val="clear" w:color="auto" w:fill="C7DAF1" w:themeFill="text2" w:themeFillTint="32"/>
                    <w:jc w:val="left"/>
                  </w:pPr>
                </w:p>
              </w:tc>
              <w:tc>
                <w:tcPr>
                  <w:tcW w:w="2347"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5" w:type="dxa"/>
                </w:tcPr>
                <w:p>
                  <w:pPr>
                    <w:shd w:val="clear" w:color="auto" w:fill="C7DAF1" w:themeFill="text2" w:themeFillTint="32"/>
                    <w:jc w:val="left"/>
                  </w:pPr>
                </w:p>
              </w:tc>
              <w:tc>
                <w:tcPr>
                  <w:tcW w:w="1700" w:type="dxa"/>
                </w:tcPr>
                <w:p>
                  <w:pPr>
                    <w:shd w:val="clear" w:color="auto" w:fill="C7DAF1" w:themeFill="text2" w:themeFillTint="32"/>
                    <w:jc w:val="left"/>
                  </w:pPr>
                </w:p>
              </w:tc>
              <w:tc>
                <w:tcPr>
                  <w:tcW w:w="2347"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w:t>
            </w:r>
            <w:r>
              <w:rPr>
                <w:rFonts w:hint="eastAsia"/>
              </w:rPr>
              <w:t>，</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lang w:val="en-US" w:eastAsia="zh-CN"/>
              </w:rPr>
              <w:t xml:space="preserve"> 无</w:t>
            </w:r>
          </w:p>
          <w:p>
            <w:pPr>
              <w:shd w:val="clear" w:color="auto" w:fill="C7DAF1" w:themeFill="text2" w:themeFillTint="32"/>
              <w:rPr>
                <w:rFonts w:hint="eastAsia" w:eastAsia="宋体"/>
                <w:lang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lang w:val="en-US" w:eastAsia="zh-CN"/>
              </w:rPr>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最终检验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《型式检验报告》，如：。</w:t>
            </w:r>
          </w:p>
          <w:p>
            <w:pPr>
              <w:shd w:val="clear" w:color="auto" w:fill="C7DAF1" w:themeFill="text2" w:themeFillTint="32"/>
              <w:rPr>
                <w:rFonts w:hint="eastAsia" w:eastAsia="宋体"/>
                <w:lang w:eastAsia="zh-CN"/>
              </w:rPr>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hint="eastAsia" w:eastAsia="宋体"/>
                <w:lang w:eastAsia="zh-CN"/>
              </w:rPr>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rPr>
                <w:rFonts w:hint="eastAsia" w:eastAsia="宋体"/>
                <w:lang w:eastAsia="zh-CN"/>
              </w:rPr>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lang w:val="en-US" w:eastAsia="zh-CN"/>
              </w:rPr>
              <w:t xml:space="preserve"> </w:t>
            </w:r>
            <w:r>
              <w:rPr>
                <w:rFonts w:hint="eastAsia"/>
              </w:rPr>
              <w:t>顾客赞扬</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360" w:lineRule="auto"/>
              <w:rPr>
                <w:rFonts w:hAnsi="楷体" w:eastAsia="楷体"/>
                <w:b/>
                <w:sz w:val="24"/>
                <w:szCs w:val="24"/>
              </w:rPr>
            </w:pPr>
            <w:r>
              <w:rPr>
                <w:rFonts w:hAnsi="楷体" w:eastAsia="楷体"/>
                <w:b/>
                <w:sz w:val="24"/>
                <w:szCs w:val="24"/>
              </w:rPr>
              <w:t>质量方针：</w:t>
            </w:r>
          </w:p>
          <w:p>
            <w:pPr>
              <w:spacing w:line="360" w:lineRule="auto"/>
              <w:rPr>
                <w:rFonts w:hint="eastAsia" w:hAnsi="楷体" w:eastAsia="楷体"/>
                <w:b/>
                <w:sz w:val="24"/>
                <w:szCs w:val="24"/>
              </w:rPr>
            </w:pPr>
            <w:r>
              <w:rPr>
                <w:rFonts w:hint="eastAsia" w:hAnsi="楷体" w:eastAsia="楷体"/>
                <w:b/>
                <w:sz w:val="24"/>
                <w:szCs w:val="24"/>
              </w:rPr>
              <w:t>客户第一、服务至上</w:t>
            </w:r>
          </w:p>
          <w:p>
            <w:pPr>
              <w:spacing w:line="360" w:lineRule="auto"/>
              <w:rPr>
                <w:rFonts w:hAnsi="楷体" w:eastAsia="楷体"/>
                <w:b/>
                <w:sz w:val="24"/>
                <w:szCs w:val="24"/>
              </w:rPr>
            </w:pPr>
            <w:r>
              <w:rPr>
                <w:rFonts w:hAnsi="楷体" w:eastAsia="楷体"/>
                <w:b/>
                <w:sz w:val="24"/>
                <w:szCs w:val="24"/>
              </w:rPr>
              <w:t>环境方针：</w:t>
            </w:r>
          </w:p>
          <w:p>
            <w:pPr>
              <w:spacing w:line="360" w:lineRule="auto"/>
              <w:rPr>
                <w:rFonts w:hAnsi="楷体" w:eastAsia="楷体"/>
                <w:b/>
                <w:sz w:val="24"/>
                <w:szCs w:val="24"/>
              </w:rPr>
            </w:pPr>
            <w:r>
              <w:rPr>
                <w:rFonts w:hAnsi="楷体" w:eastAsia="楷体"/>
                <w:b/>
                <w:sz w:val="24"/>
                <w:szCs w:val="24"/>
              </w:rPr>
              <w:t>环保、高效、节能、减排</w:t>
            </w:r>
          </w:p>
          <w:p>
            <w:pPr>
              <w:spacing w:line="360" w:lineRule="auto"/>
              <w:rPr>
                <w:rFonts w:hAnsi="楷体" w:eastAsia="楷体"/>
                <w:b/>
                <w:sz w:val="24"/>
                <w:szCs w:val="24"/>
              </w:rPr>
            </w:pPr>
            <w:r>
              <w:rPr>
                <w:rFonts w:hAnsi="楷体" w:eastAsia="楷体"/>
                <w:b/>
                <w:sz w:val="24"/>
                <w:szCs w:val="24"/>
              </w:rPr>
              <w:t>职业健康安全方针：</w:t>
            </w:r>
          </w:p>
          <w:p>
            <w:pPr>
              <w:spacing w:line="360" w:lineRule="auto"/>
              <w:rPr>
                <w:u w:val="single"/>
              </w:rPr>
            </w:pPr>
            <w:r>
              <w:rPr>
                <w:rFonts w:hAnsi="楷体" w:eastAsia="楷体"/>
                <w:b/>
                <w:sz w:val="24"/>
                <w:szCs w:val="24"/>
              </w:rPr>
              <w:t>预防为主、安全第一</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公司产品售后服务处理不好，顾客埋怨投诉较多，以及产品寿命结束后的回收处理问题</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宋体" w:hAnsi="宋体" w:eastAsia="宋体" w:cs="宋体"/>
                      <w:b w:val="0"/>
                      <w:bCs w:val="0"/>
                      <w:kern w:val="0"/>
                      <w:sz w:val="21"/>
                      <w:szCs w:val="21"/>
                      <w:lang w:val="en-US" w:eastAsia="zh-CN" w:bidi="ar-SA"/>
                    </w:rPr>
                    <w:t>供销部门和产品部要严格按照售后服务管理规定，做好客户服务工作</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eastAsia="楷体"/>
                      <w:szCs w:val="21"/>
                    </w:rPr>
                    <w:t>上下班乘坐交通工具</w:t>
                  </w:r>
                </w:p>
              </w:tc>
              <w:tc>
                <w:tcPr>
                  <w:tcW w:w="3965" w:type="dxa"/>
                </w:tcPr>
                <w:p>
                  <w:pPr>
                    <w:shd w:val="clear" w:color="auto" w:fill="EBF1DE" w:themeFill="accent3" w:themeFillTint="32"/>
                  </w:pPr>
                  <w:r>
                    <w:rPr>
                      <w:rFonts w:hint="eastAsia" w:eastAsia="楷体"/>
                      <w:szCs w:val="21"/>
                    </w:rPr>
                    <w:t>人员做好防护，配备口罩并且每日安全教育</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固体废弃物分类处理率达100%</w:t>
                  </w:r>
                </w:p>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18"/>
                      <w:szCs w:val="18"/>
                      <w:lang w:val="en-US" w:eastAsia="zh-CN"/>
                    </w:rPr>
                    <w:t>火灾发生率0%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18"/>
                      <w:szCs w:val="18"/>
                      <w:lang w:val="en-GB" w:eastAsia="zh-CN" w:bidi="ar-SA"/>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GB" w:eastAsia="zh-CN" w:bidi="ar-SA"/>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GB" w:eastAsia="zh-CN" w:bidi="ar-SA"/>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办公设施</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灭火器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不适用</w:t>
            </w:r>
          </w:p>
          <w:p>
            <w:pPr>
              <w:shd w:val="clear" w:color="auto" w:fill="EBF1DE" w:themeFill="accent3" w:themeFillTint="32"/>
              <w:rPr>
                <w:rFonts w:hint="eastAsia" w:eastAsia="宋体"/>
                <w:lang w:eastAsia="zh-CN"/>
              </w:rPr>
            </w:pPr>
            <w:r>
              <w:rPr>
                <w:rFonts w:hint="eastAsia"/>
              </w:rPr>
              <w:t>辅助场所：</w:t>
            </w:r>
            <w:r>
              <w:rPr>
                <w:rFonts w:hint="eastAsia"/>
                <w:lang w:val="en-US" w:eastAsia="zh-CN"/>
              </w:rPr>
              <w:t>/</w:t>
            </w:r>
            <w:r>
              <w:rPr>
                <w:rFonts w:hint="eastAsia" w:ascii="Wingdings" w:hAnsi="Wingdings"/>
                <w:lang w:val="en-US" w:eastAsia="zh-CN"/>
              </w:rPr>
              <w:t xml:space="preserve"> </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r>
              <w:rPr>
                <w:rFonts w:hint="eastAsia" w:ascii="Wingdings" w:hAnsi="Wingdings"/>
                <w:lang w:val="en-US" w:eastAsia="zh-CN"/>
              </w:rPr>
              <w:t xml:space="preserve"> </w:t>
            </w:r>
          </w:p>
          <w:p>
            <w:pPr>
              <w:shd w:val="clear" w:color="auto" w:fill="EBF1DE" w:themeFill="accent3" w:themeFillTint="32"/>
              <w:rPr>
                <w:rFonts w:hint="eastAsia" w:eastAsia="宋体"/>
                <w:lang w:eastAsia="zh-CN"/>
              </w:rPr>
            </w:pPr>
            <w:r>
              <w:rPr>
                <w:rFonts w:hint="eastAsia"/>
              </w:rPr>
              <w:t>特种设备作业人员：</w:t>
            </w:r>
            <w:r>
              <w:rPr>
                <w:rFonts w:hint="eastAsia"/>
                <w:lang w:val="en-US" w:eastAsia="zh-CN"/>
              </w:rPr>
              <w:t>无</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hint="eastAsia" w:eastAsia="宋体"/>
                <w:lang w:eastAsia="zh-CN"/>
              </w:rPr>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lang w:eastAsia="zh-CN"/>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shd w:val="clear" w:color="auto" w:fill="EBF1DE" w:themeFill="accent3" w:themeFillTint="32"/>
              <w:rPr>
                <w:rFonts w:hint="eastAsia" w:eastAsia="宋体"/>
                <w:lang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ascii="楷体" w:hAnsi="楷体" w:eastAsia="楷体" w:cs="楷体"/>
                <w:sz w:val="21"/>
                <w:szCs w:val="21"/>
                <w:u w:val="single"/>
                <w:lang w:val="en-US" w:eastAsia="zh-CN"/>
              </w:rPr>
              <w:t>查到外来文件清单，发现收录的“中华人民共和国固体废物污染环境防治法、中华人民共和国消防法”已过期未及时更新</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lang w:val="en-US"/>
              </w:rPr>
            </w:pPr>
            <w:r>
              <w:rPr>
                <w:rFonts w:hint="eastAsia"/>
              </w:rPr>
              <w:t>□法律法规获取充分，</w:t>
            </w:r>
            <w:r>
              <w:rPr>
                <w:rFonts w:hint="eastAsia"/>
                <w:lang w:eastAsia="zh-CN"/>
              </w:rPr>
              <w:t>☑</w:t>
            </w:r>
            <w:r>
              <w:rPr>
                <w:rFonts w:hint="eastAsia" w:ascii="楷体" w:hAnsi="楷体" w:eastAsia="楷体" w:cs="楷体"/>
                <w:sz w:val="21"/>
                <w:szCs w:val="21"/>
                <w:u w:val="single"/>
                <w:lang w:val="en-US" w:eastAsia="zh-CN"/>
              </w:rPr>
              <w:t>查到外来文件清单，发现收录的“中华人民共和国固体废物污染环境防治法、中华人民共和国消防法”已过期未及时更新，已开不符合</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eastAsia="宋体"/>
                <w:lang w:eastAsia="zh-CN"/>
              </w:rPr>
            </w:pPr>
            <w:r>
              <w:rPr>
                <w:rFonts w:hint="eastAsia"/>
              </w:rPr>
              <w:t>顾客的环境要求为：</w:t>
            </w:r>
            <w:r>
              <w:rPr>
                <w:rFonts w:hint="eastAsia" w:ascii="Wingdings" w:hAnsi="Wingdings"/>
                <w:lang w:val="en-US" w:eastAsia="zh-CN"/>
              </w:rPr>
              <w:t xml:space="preserve"> </w:t>
            </w:r>
            <w:r>
              <w:rPr>
                <w:rFonts w:hint="eastAsia" w:ascii="Wingdings" w:hAnsi="Wingdings"/>
              </w:rPr>
              <w:t>¨</w:t>
            </w:r>
            <w:r>
              <w:rPr>
                <w:rFonts w:hint="eastAsia"/>
              </w:rPr>
              <w:t>EMS认证证书</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重要环境因素</w:t>
                  </w:r>
                </w:p>
              </w:tc>
              <w:tc>
                <w:tcPr>
                  <w:tcW w:w="3665" w:type="dxa"/>
                  <w:vAlign w:val="top"/>
                </w:tcPr>
                <w:p>
                  <w:pPr>
                    <w:shd w:val="clear" w:color="auto" w:fill="EBF1DE" w:themeFill="accent3" w:themeFillTint="32"/>
                    <w:jc w:val="left"/>
                  </w:pPr>
                  <w:r>
                    <w:rPr>
                      <w:rFonts w:hint="eastAsia"/>
                    </w:rPr>
                    <w:t>控制措施</w:t>
                  </w:r>
                </w:p>
              </w:tc>
              <w:tc>
                <w:tcPr>
                  <w:tcW w:w="3265" w:type="dxa"/>
                  <w:vAlign w:val="top"/>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rPr>
                    <w:t>运行控制；应急准备与响应</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rPr>
                <w:rFonts w:hint="eastAsia" w:eastAsia="宋体"/>
                <w:lang w:eastAsia="zh-CN"/>
              </w:rPr>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default" w:eastAsia="宋体"/>
                <w:lang w:val="en-US" w:eastAsia="zh-CN"/>
              </w:rPr>
            </w:pPr>
            <w:r>
              <w:rPr>
                <w:rFonts w:hint="eastAsia"/>
              </w:rPr>
              <w:t>已发生的更改包括：</w:t>
            </w:r>
            <w:r>
              <w:rPr>
                <w:rFonts w:hint="eastAsia" w:ascii="Wingdings" w:hAnsi="Wingdings"/>
                <w:lang w:val="en-US" w:eastAsia="zh-CN"/>
              </w:rPr>
              <w:t xml:space="preserve"> 无</w:t>
            </w:r>
          </w:p>
          <w:p>
            <w:pPr>
              <w:shd w:val="clear" w:color="auto" w:fill="EBF1DE" w:themeFill="accent3" w:themeFillTint="32"/>
              <w:rPr>
                <w:rFonts w:hint="eastAsia" w:eastAsia="宋体"/>
                <w:lang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lang w:val="en-US" w:eastAsia="zh-CN"/>
              </w:rPr>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p>
          <w:p>
            <w:pPr>
              <w:shd w:val="clear" w:color="auto" w:fill="EBF1DE" w:themeFill="accent3" w:themeFillTint="32"/>
              <w:rPr>
                <w:rFonts w:hint="eastAsia" w:eastAsia="宋体"/>
                <w:lang w:eastAsia="zh-CN"/>
              </w:rPr>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eastAsia" w:eastAsia="宋体"/>
                <w:lang w:eastAsia="zh-CN"/>
              </w:rPr>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rPr>
                <w:rFonts w:hint="eastAsia" w:eastAsia="宋体"/>
                <w:lang w:eastAsia="zh-CN"/>
              </w:rPr>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rPr>
                <w:rFonts w:hint="eastAsia" w:eastAsia="宋体"/>
                <w:lang w:eastAsia="zh-CN"/>
              </w:rPr>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5-6</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360" w:lineRule="auto"/>
              <w:rPr>
                <w:rFonts w:hAnsi="楷体" w:eastAsia="楷体"/>
                <w:b/>
                <w:sz w:val="24"/>
                <w:szCs w:val="24"/>
              </w:rPr>
            </w:pPr>
            <w:r>
              <w:rPr>
                <w:rFonts w:hAnsi="楷体" w:eastAsia="楷体"/>
                <w:b/>
                <w:sz w:val="24"/>
                <w:szCs w:val="24"/>
              </w:rPr>
              <w:t>质量方针：</w:t>
            </w:r>
          </w:p>
          <w:p>
            <w:pPr>
              <w:spacing w:line="360" w:lineRule="auto"/>
              <w:rPr>
                <w:rFonts w:hint="eastAsia" w:hAnsi="楷体" w:eastAsia="楷体"/>
                <w:b/>
                <w:sz w:val="24"/>
                <w:szCs w:val="24"/>
              </w:rPr>
            </w:pPr>
            <w:r>
              <w:rPr>
                <w:rFonts w:hint="eastAsia" w:hAnsi="楷体" w:eastAsia="楷体"/>
                <w:b/>
                <w:sz w:val="24"/>
                <w:szCs w:val="24"/>
              </w:rPr>
              <w:t>客户第一、服务至上</w:t>
            </w:r>
          </w:p>
          <w:p>
            <w:pPr>
              <w:spacing w:line="360" w:lineRule="auto"/>
              <w:rPr>
                <w:rFonts w:hAnsi="楷体" w:eastAsia="楷体"/>
                <w:b/>
                <w:sz w:val="24"/>
                <w:szCs w:val="24"/>
              </w:rPr>
            </w:pPr>
            <w:r>
              <w:rPr>
                <w:rFonts w:hAnsi="楷体" w:eastAsia="楷体"/>
                <w:b/>
                <w:sz w:val="24"/>
                <w:szCs w:val="24"/>
              </w:rPr>
              <w:t>环境方针：</w:t>
            </w:r>
          </w:p>
          <w:p>
            <w:pPr>
              <w:spacing w:line="360" w:lineRule="auto"/>
              <w:rPr>
                <w:rFonts w:hAnsi="楷体" w:eastAsia="楷体"/>
                <w:b/>
                <w:sz w:val="24"/>
                <w:szCs w:val="24"/>
              </w:rPr>
            </w:pPr>
            <w:r>
              <w:rPr>
                <w:rFonts w:hAnsi="楷体" w:eastAsia="楷体"/>
                <w:b/>
                <w:sz w:val="24"/>
                <w:szCs w:val="24"/>
              </w:rPr>
              <w:t>环保、高效、节能、减排</w:t>
            </w:r>
          </w:p>
          <w:p>
            <w:pPr>
              <w:spacing w:line="360" w:lineRule="auto"/>
              <w:rPr>
                <w:rFonts w:hAnsi="楷体" w:eastAsia="楷体"/>
                <w:b/>
                <w:sz w:val="24"/>
                <w:szCs w:val="24"/>
              </w:rPr>
            </w:pPr>
            <w:r>
              <w:rPr>
                <w:rFonts w:hAnsi="楷体" w:eastAsia="楷体"/>
                <w:b/>
                <w:sz w:val="24"/>
                <w:szCs w:val="24"/>
              </w:rPr>
              <w:t>职业健康安全方针：</w:t>
            </w:r>
          </w:p>
          <w:p>
            <w:pPr>
              <w:spacing w:line="360" w:lineRule="auto"/>
              <w:rPr>
                <w:u w:val="single"/>
              </w:rPr>
            </w:pPr>
            <w:r>
              <w:rPr>
                <w:rFonts w:hAnsi="楷体" w:eastAsia="楷体"/>
                <w:b/>
                <w:sz w:val="24"/>
                <w:szCs w:val="24"/>
              </w:rPr>
              <w:t>预防为主、安全第一</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default" w:eastAsia="宋体"/>
                <w:lang w:val="en-US" w:eastAsia="zh-CN"/>
              </w:rPr>
            </w:pPr>
            <w:r>
              <w:rPr>
                <w:rFonts w:hint="eastAsia"/>
              </w:rPr>
              <w:t>安全的主管部门是——</w:t>
            </w:r>
            <w:r>
              <w:rPr>
                <w:rFonts w:hint="eastAsia"/>
                <w:lang w:val="en-US" w:eastAsia="zh-CN"/>
              </w:rPr>
              <w:t>供销部、办公室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石恒同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sz w:val="18"/>
                      <w:szCs w:val="18"/>
                    </w:rPr>
                  </w:pPr>
                  <w:r>
                    <w:rPr>
                      <w:rFonts w:hint="eastAsia"/>
                      <w:b/>
                      <w:sz w:val="18"/>
                      <w:szCs w:val="18"/>
                    </w:rPr>
                    <w:t>风险：</w:t>
                  </w:r>
                  <w:r>
                    <w:rPr>
                      <w:rFonts w:hint="eastAsia"/>
                      <w:sz w:val="18"/>
                      <w:szCs w:val="18"/>
                    </w:rPr>
                    <w:t>公司目前人员特别是优秀人才被外单位吸引离开的情况还是存在，对公司是比较大的损失。员工业务素质在一定程度上存在参差不齐的情况，加上绩效考核不能有效落实，会对工作完成质量造成不好的影响。</w:t>
                  </w:r>
                </w:p>
                <w:p>
                  <w:pPr>
                    <w:rPr>
                      <w:rFonts w:ascii="Times New Roman" w:hAnsi="Times New Roman" w:eastAsia="宋体" w:cs="Times New Roman"/>
                      <w:kern w:val="2"/>
                      <w:sz w:val="18"/>
                      <w:szCs w:val="18"/>
                      <w:lang w:val="en-US" w:eastAsia="zh-CN" w:bidi="ar-SA"/>
                    </w:rPr>
                  </w:pPr>
                  <w:r>
                    <w:rPr>
                      <w:rFonts w:hint="eastAsia"/>
                      <w:b/>
                      <w:sz w:val="18"/>
                      <w:szCs w:val="18"/>
                    </w:rPr>
                    <w:t>机遇：</w:t>
                  </w:r>
                  <w:r>
                    <w:rPr>
                      <w:rFonts w:hint="eastAsia"/>
                      <w:sz w:val="18"/>
                      <w:szCs w:val="18"/>
                    </w:rPr>
                    <w:t>公司目前主要人员还算稳定，各项绩效考核能顺利开展，为公司的发展提供一个比较好的基础。</w:t>
                  </w:r>
                </w:p>
              </w:tc>
              <w:tc>
                <w:tcPr>
                  <w:tcW w:w="3965" w:type="dxa"/>
                  <w:vAlign w:val="top"/>
                </w:tcPr>
                <w:p>
                  <w:pPr>
                    <w:rPr>
                      <w:rFonts w:hint="eastAsia"/>
                      <w:sz w:val="18"/>
                      <w:szCs w:val="18"/>
                    </w:rPr>
                  </w:pPr>
                  <w:r>
                    <w:rPr>
                      <w:rFonts w:hint="eastAsia"/>
                      <w:sz w:val="18"/>
                      <w:szCs w:val="18"/>
                    </w:rPr>
                    <w:t>1.各部门要及时关注员工的心理变换，注意工作方式，创造良好的工作环境，提高员工的归属感</w:t>
                  </w:r>
                </w:p>
                <w:p>
                  <w:pPr>
                    <w:rPr>
                      <w:rFonts w:hint="eastAsia"/>
                      <w:sz w:val="18"/>
                      <w:szCs w:val="18"/>
                    </w:rPr>
                  </w:pPr>
                  <w:r>
                    <w:rPr>
                      <w:rFonts w:hint="eastAsia"/>
                      <w:sz w:val="18"/>
                      <w:szCs w:val="18"/>
                    </w:rPr>
                    <w:t>2.人资部做好人员的储备，防止人员流失后给公司带来的风险；</w:t>
                  </w:r>
                </w:p>
                <w:p>
                  <w:pPr>
                    <w:rPr>
                      <w:rFonts w:ascii="Times New Roman" w:hAnsi="Times New Roman" w:eastAsia="宋体" w:cs="Times New Roman"/>
                      <w:kern w:val="2"/>
                      <w:sz w:val="18"/>
                      <w:szCs w:val="18"/>
                      <w:lang w:val="en-US" w:eastAsia="zh-CN" w:bidi="ar-SA"/>
                    </w:rPr>
                  </w:pPr>
                  <w:r>
                    <w:rPr>
                      <w:rFonts w:hint="eastAsia"/>
                      <w:sz w:val="18"/>
                      <w:szCs w:val="18"/>
                    </w:rPr>
                    <w:t>3.各职能部门加强绩效考核的有效开展，通过考核促进员工的工作积极性，提高业务素质。</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无重伤及死亡事故</w:t>
                  </w:r>
                </w:p>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18"/>
                      <w:szCs w:val="18"/>
                      <w:lang w:val="en-US" w:eastAsia="zh-CN"/>
                    </w:rPr>
                    <w:t>火灾发生率为零</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pPr>
              <w:rPr>
                <w:rFonts w:hint="eastAsia" w:eastAsia="宋体"/>
                <w:lang w:eastAsia="zh-CN"/>
              </w:rPr>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pPr>
              <w:rPr>
                <w:rFonts w:hint="default" w:eastAsia="宋体"/>
                <w:u w:val="single"/>
                <w:lang w:val="en-US" w:eastAsia="zh-CN"/>
              </w:rPr>
            </w:pPr>
            <w:r>
              <w:rPr>
                <w:rFonts w:hint="eastAsia" w:ascii="Wingdings" w:hAnsi="Wingdings"/>
                <w:lang w:val="en-US" w:eastAsia="zh-CN"/>
              </w:rPr>
              <w:t xml:space="preserve"> </w:t>
            </w:r>
            <w:r>
              <w:rPr>
                <w:rFonts w:hint="eastAsia" w:ascii="Wingdings" w:hAnsi="Wingdings"/>
              </w:rPr>
              <w:t>¨</w:t>
            </w:r>
            <w:r>
              <w:rPr>
                <w:rFonts w:hint="eastAsia"/>
              </w:rPr>
              <w:t>漏电开关</w:t>
            </w:r>
            <w:r>
              <w:rPr>
                <w:rFonts w:hint="eastAsia" w:ascii="Wingdings" w:hAnsi="Wingdings"/>
              </w:rPr>
              <w:t>¨</w:t>
            </w:r>
            <w:r>
              <w:rPr>
                <w:rFonts w:hint="eastAsia"/>
                <w:lang w:val="en-US" w:eastAsia="zh-CN"/>
              </w:rPr>
              <w:t xml:space="preserve"> 灭火器</w:t>
            </w:r>
          </w:p>
          <w:p>
            <w:pPr>
              <w:rPr>
                <w:rFonts w:hint="eastAsia"/>
                <w:lang w:val="en-US" w:eastAsia="zh-CN"/>
              </w:rPr>
            </w:pPr>
            <w:r>
              <w:rPr>
                <w:rFonts w:hint="eastAsia"/>
              </w:rPr>
              <w:t>特种设备：</w:t>
            </w:r>
            <w:r>
              <w:rPr>
                <w:rFonts w:hint="eastAsia" w:ascii="Wingdings" w:hAnsi="Wingdings"/>
              </w:rPr>
              <w:t>¨</w:t>
            </w:r>
            <w:r>
              <w:rPr>
                <w:rFonts w:hint="eastAsia" w:ascii="Wingdings" w:hAnsi="Wingdings"/>
                <w:lang w:val="en-US" w:eastAsia="zh-CN"/>
              </w:rPr>
              <w:t>无</w:t>
            </w:r>
            <w:r>
              <w:rPr>
                <w:rFonts w:hint="eastAsia"/>
                <w:lang w:val="en-US" w:eastAsia="zh-CN"/>
              </w:rPr>
              <w:t xml:space="preserve"> </w:t>
            </w:r>
          </w:p>
          <w:p>
            <w:pPr>
              <w:rPr>
                <w:rFonts w:hint="eastAsia" w:eastAsia="宋体"/>
                <w:lang w:eastAsia="zh-CN"/>
              </w:rPr>
            </w:pPr>
            <w:r>
              <w:rPr>
                <w:rFonts w:hint="eastAsia"/>
              </w:rPr>
              <w:t>辅助场所：</w:t>
            </w:r>
            <w:r>
              <w:rPr>
                <w:rFonts w:hint="eastAsia" w:ascii="Wingdings" w:hAnsi="Wingdings"/>
                <w:lang w:val="en-US" w:eastAsia="zh-CN"/>
              </w:rPr>
              <w:t xml:space="preserve"> </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lang w:val="en-US" w:eastAsia="zh-CN"/>
              </w:rPr>
              <w:t>不适用</w:t>
            </w:r>
            <w:r>
              <w:rPr>
                <w:rFonts w:hint="eastAsia" w:ascii="Wingdings" w:hAnsi="Wingdings"/>
                <w:lang w:val="en-US" w:eastAsia="zh-CN"/>
              </w:rPr>
              <w:t xml:space="preserve"> </w:t>
            </w:r>
          </w:p>
          <w:p>
            <w:pPr>
              <w:rPr>
                <w:rFonts w:hint="default" w:eastAsia="宋体"/>
                <w:lang w:val="en-US" w:eastAsia="zh-CN"/>
              </w:rPr>
            </w:pPr>
            <w:r>
              <w:rPr>
                <w:rFonts w:hint="eastAsia"/>
              </w:rPr>
              <w:t>特种设备作业人员：</w:t>
            </w:r>
            <w:r>
              <w:rPr>
                <w:rFonts w:hint="eastAsia" w:ascii="Wingdings" w:hAnsi="Wingdings"/>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pPr>
              <w:rPr>
                <w:rFonts w:hint="eastAsia" w:eastAsia="宋体"/>
                <w:lang w:eastAsia="zh-CN"/>
              </w:rPr>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p>
            <w:pPr>
              <w:rPr>
                <w:rFonts w:hint="eastAsia" w:eastAsia="宋体"/>
                <w:lang w:eastAsia="zh-CN"/>
              </w:rPr>
            </w:pPr>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lang w:val="en-US" w:eastAsia="zh-CN"/>
              </w:rPr>
              <w:t xml:space="preserve"> </w:t>
            </w:r>
          </w:p>
          <w:p>
            <w:pPr>
              <w:rPr>
                <w:rFonts w:hint="eastAsia" w:eastAsia="宋体"/>
                <w:lang w:eastAsia="zh-CN"/>
              </w:rPr>
            </w:pPr>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lang w:val="en-US" w:eastAsia="zh-CN"/>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rPr>
                <w:rFonts w:hint="eastAsia" w:eastAsia="宋体"/>
                <w:lang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ascii="楷体" w:hAnsi="楷体" w:eastAsia="楷体" w:cs="楷体"/>
                <w:sz w:val="21"/>
                <w:szCs w:val="21"/>
                <w:u w:val="single"/>
                <w:lang w:val="en-US" w:eastAsia="zh-CN"/>
              </w:rPr>
              <w:t>查到外来文件清单，发现收录的“中华人民共和国固体废物污染环境防治法、中华人民共和国消防法”已过期未及时更新</w:t>
            </w:r>
          </w:p>
          <w:p>
            <w:r>
              <w:rPr>
                <w:rFonts w:hint="eastAsia"/>
              </w:rPr>
              <w:t>对环境相关的外来文件（法律法规、产品标准）进行了识别和贯彻。</w:t>
            </w:r>
          </w:p>
          <w:p>
            <w:pPr>
              <w:rPr>
                <w:rFonts w:hint="default"/>
                <w:lang w:val="en-US"/>
              </w:rPr>
            </w:pPr>
            <w:r>
              <w:rPr>
                <w:rFonts w:hint="eastAsia"/>
              </w:rPr>
              <w:t>□法律法规获取充分，</w:t>
            </w:r>
            <w:r>
              <w:rPr>
                <w:rFonts w:hint="eastAsia"/>
                <w:lang w:eastAsia="zh-CN"/>
              </w:rPr>
              <w:t>☑</w:t>
            </w:r>
            <w:r>
              <w:rPr>
                <w:rFonts w:hint="eastAsia" w:ascii="楷体" w:hAnsi="楷体" w:eastAsia="楷体" w:cs="楷体"/>
                <w:sz w:val="21"/>
                <w:szCs w:val="21"/>
                <w:u w:val="single"/>
                <w:lang w:val="en-US" w:eastAsia="zh-CN"/>
              </w:rPr>
              <w:t>查到外来文件清单，发现收录的“中华人民共和国固体废物污染环境防治法、中华人民共和国消防法”已过期未及时更新，已开不符合</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eastAsia="宋体"/>
                <w:lang w:eastAsia="zh-CN"/>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lang w:val="en-US" w:eastAsia="zh-CN"/>
              </w:rPr>
              <w:t xml:space="preserve"> </w:t>
            </w:r>
            <w:r>
              <w:rPr>
                <w:rFonts w:hint="eastAsia"/>
              </w:rPr>
              <w:t>外包控制要求</w:t>
            </w:r>
            <w:r>
              <w:rPr>
                <w:rFonts w:hint="eastAsia" w:ascii="Wingdings" w:hAnsi="Wingdings"/>
              </w:rPr>
              <w:t>¨</w:t>
            </w:r>
            <w:r>
              <w:rPr>
                <w:rFonts w:hint="eastAsia"/>
                <w:lang w:val="en-US" w:eastAsia="zh-CN"/>
              </w:rPr>
              <w:t xml:space="preserve"> </w:t>
            </w:r>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hint="eastAsia" w:eastAsia="宋体"/>
                <w:lang w:eastAsia="zh-CN"/>
              </w:rPr>
            </w:pPr>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lang w:val="en-US" w:eastAsia="zh-CN"/>
              </w:rPr>
              <w:t xml:space="preserve"> </w:t>
            </w:r>
            <w:r>
              <w:rPr>
                <w:rFonts w:hint="eastAsia"/>
              </w:rPr>
              <w:t>OHSMS认证证书</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lang w:val="en-US" w:eastAsia="zh-CN"/>
              </w:rPr>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lang w:val="en-US" w:eastAsia="zh-CN"/>
              </w:rPr>
              <w:t xml:space="preserve"> </w:t>
            </w:r>
            <w:r>
              <w:rPr>
                <w:rFonts w:hint="eastAsia" w:ascii="Wingdings" w:hAnsi="Wingdings"/>
                <w:lang w:val="en-US" w:eastAsia="zh-CN"/>
              </w:rPr>
              <w:t xml:space="preserve"> </w:t>
            </w:r>
            <w:r>
              <w:rPr>
                <w:rFonts w:hint="eastAsia" w:ascii="Wingdings" w:hAnsi="Wingdings"/>
              </w:rPr>
              <w:t>¨</w:t>
            </w:r>
            <w:r>
              <w:rPr>
                <w:rFonts w:hint="eastAsia"/>
              </w:rPr>
              <w:t>运输</w:t>
            </w:r>
            <w:r>
              <w:rPr>
                <w:rFonts w:hint="eastAsia" w:ascii="Wingdings" w:hAnsi="Wingdings"/>
              </w:rPr>
              <w:t>¨</w:t>
            </w:r>
            <w:r>
              <w:rPr>
                <w:rFonts w:hint="eastAsia"/>
                <w:lang w:val="en-US" w:eastAsia="zh-CN"/>
              </w:rPr>
              <w:t xml:space="preserve"> </w:t>
            </w:r>
          </w:p>
          <w:p>
            <w:pPr>
              <w:jc w:val="left"/>
              <w:rPr>
                <w:rFonts w:hint="eastAsia" w:eastAsia="宋体"/>
                <w:lang w:val="en-US" w:eastAsia="zh-CN"/>
              </w:rPr>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lang w:val="en-US" w:eastAsia="zh-CN"/>
              </w:rPr>
              <w:t xml:space="preserve"> </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r>
                    <w:rPr>
                      <w:rFonts w:hint="eastAsia"/>
                      <w:lang w:eastAsia="zh-CN"/>
                    </w:rPr>
                    <w:t>、</w:t>
                  </w:r>
                  <w:r>
                    <w:rPr>
                      <w:rFonts w:hint="eastAsia"/>
                      <w:lang w:val="en-US" w:eastAsia="zh-CN"/>
                    </w:rPr>
                    <w:t>交通事故</w:t>
                  </w:r>
                </w:p>
              </w:tc>
              <w:tc>
                <w:tcPr>
                  <w:tcW w:w="4725" w:type="dxa"/>
                  <w:vAlign w:val="top"/>
                </w:tcPr>
                <w:p>
                  <w:pPr>
                    <w:jc w:val="left"/>
                  </w:pPr>
                  <w:r>
                    <w:rPr>
                      <w:rFonts w:hint="eastAsia"/>
                      <w:lang w:eastAsia="zh-CN"/>
                    </w:rPr>
                    <w:t>☑</w:t>
                  </w:r>
                  <w:r>
                    <w:rPr>
                      <w:rFonts w:hint="eastAsia"/>
                      <w:lang w:val="en-US" w:eastAsia="zh-CN"/>
                    </w:rPr>
                    <w:t>管理方案、应急预案</w:t>
                  </w:r>
                </w:p>
              </w:tc>
              <w:tc>
                <w:tcPr>
                  <w:tcW w:w="2205" w:type="dxa"/>
                  <w:vAlign w:val="top"/>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rPr>
                <w:rFonts w:hint="eastAsia" w:eastAsia="宋体"/>
                <w:lang w:eastAsia="zh-CN"/>
              </w:rPr>
            </w:pP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rPr>
                <w:rFonts w:hint="eastAsia" w:eastAsia="宋体"/>
                <w:lang w:eastAsia="zh-CN"/>
              </w:rPr>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p>
          <w:p>
            <w:pPr>
              <w:rPr>
                <w:rFonts w:hint="eastAsia" w:eastAsia="宋体"/>
                <w:lang w:eastAsia="zh-CN"/>
              </w:rPr>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p>
          <w:p/>
          <w:p>
            <w:r>
              <w:rPr>
                <w:rFonts w:hint="eastAsia"/>
              </w:rPr>
              <w:t>于</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eastAsia" w:eastAsia="宋体"/>
                <w:lang w:eastAsia="zh-CN"/>
              </w:rPr>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lang w:val="en-US" w:eastAsia="zh-CN"/>
              </w:rPr>
              <w:t xml:space="preserve"> </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pPr>
              <w:rPr>
                <w:rFonts w:hint="eastAsia" w:eastAsia="宋体"/>
                <w:lang w:eastAsia="zh-CN"/>
              </w:rPr>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lang w:val="en-US" w:eastAsia="zh-CN"/>
              </w:rPr>
              <w:t xml:space="preserve"> </w:t>
            </w:r>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3" w:name="_GoBack"/>
            <w:bookmarkEnd w:id="33"/>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yZWEwNTJkZmJlNThmOGIyN2MwMTRiZTI2ODcwNWIifQ=="/>
  </w:docVars>
  <w:rsids>
    <w:rsidRoot w:val="00000000"/>
    <w:rsid w:val="6F162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19001</Words>
  <Characters>19820</Characters>
  <Lines>150</Lines>
  <Paragraphs>42</Paragraphs>
  <TotalTime>3</TotalTime>
  <ScaleCrop>false</ScaleCrop>
  <LinksUpToDate>false</LinksUpToDate>
  <CharactersWithSpaces>19941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2023-03-01T23:20:10Z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