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7"/>
        <w:rPr>
          <w:rFonts w:hint="eastAsia"/>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1058"/>
        <w:gridCol w:w="10596"/>
        <w:gridCol w:w="8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2160" w:type="dxa"/>
            <w:vMerge w:val="restart"/>
            <w:vAlign w:val="center"/>
          </w:tcPr>
          <w:p>
            <w:pPr>
              <w:spacing w:before="120"/>
              <w:jc w:val="center"/>
              <w:rPr>
                <w:sz w:val="24"/>
                <w:szCs w:val="24"/>
              </w:rPr>
            </w:pPr>
            <w:r>
              <w:rPr>
                <w:rFonts w:hint="eastAsia"/>
                <w:sz w:val="24"/>
                <w:szCs w:val="24"/>
              </w:rPr>
              <w:t>过程与活动、</w:t>
            </w:r>
          </w:p>
          <w:p>
            <w:pPr>
              <w:jc w:val="center"/>
            </w:pPr>
            <w:r>
              <w:rPr>
                <w:rFonts w:hint="eastAsia"/>
                <w:sz w:val="24"/>
                <w:szCs w:val="24"/>
              </w:rPr>
              <w:t>抽样计划</w:t>
            </w:r>
          </w:p>
        </w:tc>
        <w:tc>
          <w:tcPr>
            <w:tcW w:w="1058"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596" w:type="dxa"/>
            <w:vAlign w:val="center"/>
          </w:tcPr>
          <w:p>
            <w:pPr>
              <w:rPr>
                <w:rFonts w:hint="default" w:eastAsia="宋体"/>
                <w:sz w:val="24"/>
                <w:szCs w:val="24"/>
                <w:lang w:val="en-US" w:eastAsia="zh-CN"/>
              </w:rPr>
            </w:pPr>
            <w:r>
              <w:rPr>
                <w:rFonts w:hint="eastAsia"/>
                <w:sz w:val="24"/>
                <w:szCs w:val="24"/>
              </w:rPr>
              <w:t>受审核部门：</w:t>
            </w:r>
            <w:r>
              <w:rPr>
                <w:rFonts w:hint="eastAsia"/>
                <w:sz w:val="24"/>
                <w:szCs w:val="24"/>
                <w:lang w:eastAsia="zh-CN"/>
              </w:rPr>
              <w:t>办公室</w:t>
            </w:r>
            <w:r>
              <w:rPr>
                <w:rFonts w:hint="eastAsia"/>
                <w:sz w:val="24"/>
                <w:szCs w:val="24"/>
                <w:lang w:val="en-US" w:eastAsia="zh-CN"/>
              </w:rPr>
              <w:t xml:space="preserve"> </w:t>
            </w:r>
            <w:r>
              <w:rPr>
                <w:rFonts w:hint="eastAsia"/>
                <w:sz w:val="24"/>
                <w:szCs w:val="24"/>
              </w:rPr>
              <w:t xml:space="preserve">   </w:t>
            </w:r>
            <w:r>
              <w:rPr>
                <w:rFonts w:hint="eastAsia"/>
                <w:sz w:val="24"/>
                <w:szCs w:val="24"/>
                <w:highlight w:val="none"/>
              </w:rPr>
              <w:t>主管领导：</w:t>
            </w:r>
            <w:r>
              <w:rPr>
                <w:rFonts w:hint="eastAsia"/>
                <w:sz w:val="24"/>
                <w:szCs w:val="24"/>
                <w:highlight w:val="none"/>
                <w:lang w:val="en-US" w:eastAsia="zh-CN"/>
              </w:rPr>
              <w:t>王欢</w:t>
            </w:r>
            <w:r>
              <w:rPr>
                <w:rFonts w:hint="eastAsia"/>
                <w:sz w:val="24"/>
                <w:szCs w:val="24"/>
                <w:highlight w:val="none"/>
              </w:rPr>
              <w:t xml:space="preserve"> </w:t>
            </w:r>
            <w:r>
              <w:rPr>
                <w:sz w:val="24"/>
                <w:szCs w:val="24"/>
                <w:highlight w:val="none"/>
              </w:rPr>
              <w:t xml:space="preserve"> </w:t>
            </w:r>
            <w:r>
              <w:rPr>
                <w:rFonts w:hint="eastAsia"/>
                <w:sz w:val="24"/>
                <w:szCs w:val="24"/>
                <w:highlight w:val="none"/>
                <w:lang w:val="en-US" w:eastAsia="zh-CN"/>
              </w:rPr>
              <w:t xml:space="preserve">    陪同人员：王西海</w:t>
            </w:r>
          </w:p>
        </w:tc>
        <w:tc>
          <w:tcPr>
            <w:tcW w:w="895"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160" w:type="dxa"/>
            <w:vMerge w:val="continue"/>
            <w:vAlign w:val="center"/>
          </w:tcPr>
          <w:p/>
        </w:tc>
        <w:tc>
          <w:tcPr>
            <w:tcW w:w="1058" w:type="dxa"/>
            <w:vMerge w:val="continue"/>
            <w:vAlign w:val="center"/>
          </w:tcPr>
          <w:p/>
        </w:tc>
        <w:tc>
          <w:tcPr>
            <w:tcW w:w="10596" w:type="dxa"/>
            <w:vAlign w:val="center"/>
          </w:tcPr>
          <w:p>
            <w:pPr>
              <w:rPr>
                <w:rFonts w:hint="default"/>
                <w:sz w:val="24"/>
                <w:szCs w:val="24"/>
                <w:lang w:val="en-US"/>
              </w:rPr>
            </w:pPr>
            <w:r>
              <w:rPr>
                <w:rFonts w:hint="eastAsia"/>
                <w:sz w:val="24"/>
                <w:szCs w:val="24"/>
              </w:rPr>
              <w:t>审核员：</w:t>
            </w:r>
            <w:r>
              <w:rPr>
                <w:rFonts w:hint="eastAsia"/>
                <w:sz w:val="24"/>
                <w:szCs w:val="24"/>
                <w:lang w:val="en-US" w:eastAsia="zh-CN"/>
              </w:rPr>
              <w:t xml:space="preserve">李丽英             </w:t>
            </w:r>
            <w:r>
              <w:rPr>
                <w:rFonts w:hint="eastAsia"/>
                <w:sz w:val="24"/>
                <w:szCs w:val="24"/>
              </w:rPr>
              <w:t xml:space="preserve">  审核时间：</w:t>
            </w:r>
            <w:r>
              <w:rPr>
                <w:rFonts w:hint="eastAsia" w:cs="Times New Roman"/>
                <w:b/>
                <w:kern w:val="2"/>
                <w:sz w:val="21"/>
                <w:szCs w:val="21"/>
                <w:lang w:val="en-US" w:eastAsia="zh-CN" w:bidi="ar-SA"/>
              </w:rPr>
              <w:t>2023.3.3</w:t>
            </w:r>
          </w:p>
        </w:tc>
        <w:tc>
          <w:tcPr>
            <w:tcW w:w="89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160" w:type="dxa"/>
            <w:vMerge w:val="continue"/>
            <w:vAlign w:val="center"/>
          </w:tcPr>
          <w:p/>
        </w:tc>
        <w:tc>
          <w:tcPr>
            <w:tcW w:w="1058" w:type="dxa"/>
            <w:vMerge w:val="continue"/>
            <w:vAlign w:val="center"/>
          </w:tcPr>
          <w:p/>
        </w:tc>
        <w:tc>
          <w:tcPr>
            <w:tcW w:w="10596" w:type="dxa"/>
            <w:vAlign w:val="center"/>
          </w:tcPr>
          <w:p>
            <w:r>
              <w:rPr>
                <w:rFonts w:hint="eastAsia"/>
                <w:sz w:val="21"/>
                <w:szCs w:val="21"/>
                <w:lang w:val="en-US" w:eastAsia="zh-CN"/>
              </w:rPr>
              <w:t>审核条款：</w:t>
            </w:r>
            <w:r>
              <w:rPr>
                <w:rFonts w:hint="eastAsia"/>
                <w:sz w:val="21"/>
                <w:szCs w:val="21"/>
              </w:rPr>
              <w:t>EMS:</w:t>
            </w:r>
            <w:r>
              <w:rPr>
                <w:rFonts w:hint="eastAsia"/>
                <w:sz w:val="21"/>
                <w:szCs w:val="21"/>
                <w:lang w:val="en-US" w:eastAsia="zh-CN"/>
              </w:rPr>
              <w:t>6.1.2/6.1.3/6.1.4/8.1/8.2/9.1.1/9.1.2</w:t>
            </w:r>
          </w:p>
        </w:tc>
        <w:tc>
          <w:tcPr>
            <w:tcW w:w="895"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160" w:type="dxa"/>
            <w:vAlign w:val="center"/>
          </w:tcPr>
          <w:p>
            <w:pPr>
              <w:rPr>
                <w:rFonts w:hint="eastAsia" w:ascii="Times New Roman" w:hAnsi="Times New Roman" w:eastAsia="宋体" w:cs="Times New Roman"/>
                <w:kern w:val="2"/>
                <w:sz w:val="21"/>
                <w:lang w:val="en-US" w:eastAsia="zh-CN" w:bidi="ar-SA"/>
              </w:rPr>
            </w:pPr>
            <w:r>
              <w:rPr>
                <w:rFonts w:hint="eastAsia"/>
                <w:lang w:val="en-US" w:eastAsia="zh-CN"/>
              </w:rPr>
              <w:t>环境因素</w:t>
            </w:r>
          </w:p>
        </w:tc>
        <w:tc>
          <w:tcPr>
            <w:tcW w:w="1058" w:type="dxa"/>
            <w:vAlign w:val="center"/>
          </w:tcPr>
          <w:p>
            <w:pPr>
              <w:rPr>
                <w:rFonts w:hint="default" w:ascii="Times New Roman" w:hAnsi="Times New Roman" w:eastAsia="宋体" w:cs="Times New Roman"/>
                <w:kern w:val="2"/>
                <w:sz w:val="21"/>
                <w:lang w:val="en-US" w:eastAsia="zh-CN" w:bidi="ar-SA"/>
              </w:rPr>
            </w:pPr>
            <w:r>
              <w:rPr>
                <w:rFonts w:hint="eastAsia"/>
                <w:lang w:val="en-US" w:eastAsia="zh-CN"/>
              </w:rPr>
              <w:t>E6.1.2</w:t>
            </w:r>
          </w:p>
        </w:tc>
        <w:tc>
          <w:tcPr>
            <w:tcW w:w="10596" w:type="dxa"/>
            <w:vAlign w:val="top"/>
          </w:tcPr>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rFonts w:hint="eastAsia" w:ascii="宋体" w:hAnsi="宋体" w:cs="宋体"/>
                <w:b w:val="0"/>
                <w:sz w:val="21"/>
                <w:szCs w:val="21"/>
                <w:highlight w:val="none"/>
                <w:lang w:val="en-US" w:eastAsia="zh-CN"/>
              </w:rPr>
            </w:pPr>
            <w:r>
              <w:rPr>
                <w:rFonts w:hint="eastAsia" w:ascii="宋体" w:hAnsi="宋体" w:cs="宋体"/>
                <w:b w:val="0"/>
                <w:sz w:val="21"/>
                <w:szCs w:val="21"/>
                <w:highlight w:val="none"/>
                <w:lang w:val="en-US" w:eastAsia="zh-CN"/>
              </w:rPr>
              <w:t>办公室提供2022年度环境因素识别评价表</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lang w:val="en-US" w:eastAsia="zh-CN"/>
              </w:rPr>
              <w:t>202</w:t>
            </w:r>
            <w:r>
              <w:rPr>
                <w:rFonts w:hint="eastAsia" w:ascii="宋体" w:hAnsi="宋体" w:cs="宋体"/>
                <w:b w:val="0"/>
                <w:sz w:val="21"/>
                <w:szCs w:val="21"/>
                <w:highlight w:val="none"/>
                <w:lang w:val="en-US" w:eastAsia="zh-CN"/>
              </w:rPr>
              <w:t>2</w:t>
            </w:r>
            <w:r>
              <w:rPr>
                <w:rFonts w:hint="eastAsia" w:ascii="宋体" w:hAnsi="宋体" w:eastAsia="宋体" w:cs="宋体"/>
                <w:b w:val="0"/>
                <w:sz w:val="21"/>
                <w:szCs w:val="21"/>
                <w:highlight w:val="none"/>
                <w:lang w:val="en-US" w:eastAsia="zh-CN"/>
              </w:rPr>
              <w:t>年9</w:t>
            </w:r>
            <w:r>
              <w:rPr>
                <w:rFonts w:hint="eastAsia" w:ascii="宋体" w:hAnsi="宋体" w:eastAsia="宋体" w:cs="宋体"/>
                <w:b w:val="0"/>
                <w:sz w:val="21"/>
                <w:szCs w:val="21"/>
                <w:highlight w:val="none"/>
              </w:rPr>
              <w:t>月</w:t>
            </w:r>
            <w:r>
              <w:rPr>
                <w:rFonts w:hint="eastAsia" w:ascii="宋体" w:hAnsi="宋体" w:cs="宋体"/>
                <w:b w:val="0"/>
                <w:sz w:val="21"/>
                <w:szCs w:val="21"/>
                <w:highlight w:val="none"/>
                <w:lang w:val="en-US" w:eastAsia="zh-CN"/>
              </w:rPr>
              <w:t>3</w:t>
            </w:r>
            <w:r>
              <w:rPr>
                <w:rFonts w:hint="eastAsia" w:ascii="宋体" w:hAnsi="宋体" w:eastAsia="宋体" w:cs="宋体"/>
                <w:b w:val="0"/>
                <w:sz w:val="21"/>
                <w:szCs w:val="21"/>
                <w:highlight w:val="none"/>
                <w:lang w:val="en-US" w:eastAsia="zh-CN"/>
              </w:rPr>
              <w:t>日</w:t>
            </w:r>
            <w:r>
              <w:rPr>
                <w:rFonts w:hint="eastAsia" w:ascii="宋体" w:hAnsi="宋体" w:eastAsia="宋体" w:cs="宋体"/>
                <w:b w:val="0"/>
                <w:sz w:val="21"/>
                <w:szCs w:val="21"/>
                <w:highlight w:val="none"/>
              </w:rPr>
              <w:t>组织了各个部门开展了环境因素的识别工作。</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查：《环境因素识别评价表》和《重要环境因素清单》，按照部门和</w:t>
            </w:r>
            <w:r>
              <w:rPr>
                <w:rFonts w:hint="eastAsia" w:ascii="宋体" w:hAnsi="宋体" w:eastAsia="宋体" w:cs="宋体"/>
                <w:b w:val="0"/>
                <w:sz w:val="21"/>
                <w:szCs w:val="21"/>
                <w:highlight w:val="none"/>
                <w:lang w:val="en-US" w:eastAsia="zh-CN"/>
              </w:rPr>
              <w:t>生产</w:t>
            </w:r>
            <w:r>
              <w:rPr>
                <w:rFonts w:hint="eastAsia" w:ascii="宋体" w:hAnsi="宋体" w:eastAsia="宋体" w:cs="宋体"/>
                <w:b w:val="0"/>
                <w:sz w:val="21"/>
                <w:szCs w:val="21"/>
                <w:highlight w:val="none"/>
              </w:rPr>
              <w:t>过程进行识别并评价出公司重要环境因素有1）固废排放；2）潜在火灾</w:t>
            </w:r>
            <w:r>
              <w:rPr>
                <w:rFonts w:hint="eastAsia" w:ascii="宋体" w:hAnsi="宋体" w:eastAsia="宋体" w:cs="宋体"/>
                <w:b w:val="0"/>
                <w:sz w:val="21"/>
                <w:szCs w:val="21"/>
                <w:highlight w:val="none"/>
                <w:lang w:eastAsia="zh-CN"/>
              </w:rPr>
              <w:t>；</w:t>
            </w:r>
            <w:r>
              <w:rPr>
                <w:rFonts w:hint="eastAsia" w:ascii="宋体" w:hAnsi="宋体" w:eastAsia="宋体" w:cs="宋体"/>
                <w:b w:val="0"/>
                <w:sz w:val="21"/>
                <w:szCs w:val="21"/>
                <w:highlight w:val="none"/>
                <w:lang w:val="en-US" w:eastAsia="zh-CN"/>
              </w:rPr>
              <w:t>3）噪声排放；4）废气排放；5）化学品泄漏5</w:t>
            </w:r>
            <w:r>
              <w:rPr>
                <w:rFonts w:hint="eastAsia" w:ascii="宋体" w:hAnsi="宋体" w:eastAsia="宋体" w:cs="宋体"/>
                <w:b w:val="0"/>
                <w:sz w:val="21"/>
                <w:szCs w:val="21"/>
                <w:highlight w:val="none"/>
              </w:rPr>
              <w:t>项，识别清楚、准确，评价</w:t>
            </w:r>
            <w:r>
              <w:rPr>
                <w:rFonts w:hint="eastAsia" w:ascii="宋体" w:hAnsi="宋体" w:cs="宋体"/>
                <w:b w:val="0"/>
                <w:sz w:val="21"/>
                <w:szCs w:val="21"/>
                <w:highlight w:val="none"/>
                <w:lang w:val="en-US" w:eastAsia="zh-CN"/>
              </w:rPr>
              <w:t>基本</w:t>
            </w:r>
            <w:r>
              <w:rPr>
                <w:rFonts w:hint="eastAsia" w:ascii="宋体" w:hAnsi="宋体" w:eastAsia="宋体" w:cs="宋体"/>
                <w:b w:val="0"/>
                <w:sz w:val="21"/>
                <w:szCs w:val="21"/>
                <w:highlight w:val="none"/>
              </w:rPr>
              <w:t>合理。</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查：办公</w:t>
            </w:r>
            <w:r>
              <w:rPr>
                <w:rFonts w:hint="eastAsia" w:ascii="宋体" w:hAnsi="宋体" w:eastAsia="宋体" w:cs="宋体"/>
                <w:b w:val="0"/>
                <w:sz w:val="21"/>
                <w:szCs w:val="21"/>
                <w:highlight w:val="none"/>
                <w:lang w:eastAsia="zh-CN"/>
              </w:rPr>
              <w:t>场所</w:t>
            </w:r>
            <w:r>
              <w:rPr>
                <w:rFonts w:hint="eastAsia" w:ascii="宋体" w:hAnsi="宋体" w:eastAsia="宋体" w:cs="宋体"/>
                <w:b w:val="0"/>
                <w:sz w:val="21"/>
                <w:szCs w:val="21"/>
                <w:highlight w:val="none"/>
              </w:rPr>
              <w:t>《环境因素评价表》</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lang w:val="en-US" w:eastAsia="zh-CN"/>
              </w:rPr>
              <w:t>1）</w:t>
            </w:r>
            <w:r>
              <w:rPr>
                <w:rFonts w:hint="eastAsia" w:ascii="宋体" w:hAnsi="宋体" w:eastAsia="宋体" w:cs="宋体"/>
                <w:b w:val="0"/>
                <w:sz w:val="21"/>
                <w:szCs w:val="21"/>
                <w:highlight w:val="none"/>
              </w:rPr>
              <w:t>废弃纸张、日光灯管、墨盒等办公用品固废排放；</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lang w:val="en-US" w:eastAsia="zh-CN"/>
              </w:rPr>
              <w:t>2）物资采购丢弃的包装材料；</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lang w:val="en-US" w:eastAsia="zh-CN"/>
              </w:rPr>
              <w:t>3）</w:t>
            </w:r>
            <w:r>
              <w:rPr>
                <w:rFonts w:hint="eastAsia" w:ascii="宋体" w:hAnsi="宋体" w:eastAsia="宋体" w:cs="宋体"/>
                <w:b w:val="0"/>
                <w:sz w:val="21"/>
                <w:szCs w:val="21"/>
                <w:highlight w:val="none"/>
              </w:rPr>
              <w:t>电源线路老化、漏电或其他原因导致火灾的发生</w:t>
            </w:r>
            <w:r>
              <w:rPr>
                <w:rFonts w:hint="eastAsia" w:ascii="宋体" w:hAnsi="宋体" w:eastAsia="宋体" w:cs="宋体"/>
                <w:b w:val="0"/>
                <w:sz w:val="21"/>
                <w:szCs w:val="21"/>
                <w:highlight w:val="none"/>
                <w:lang w:eastAsia="zh-CN"/>
              </w:rPr>
              <w:t>；</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lang w:val="en-US" w:eastAsia="zh-CN"/>
              </w:rPr>
              <w:t>4）生产</w:t>
            </w:r>
            <w:r>
              <w:rPr>
                <w:rFonts w:hint="eastAsia" w:ascii="宋体" w:hAnsi="宋体" w:eastAsia="宋体" w:cs="宋体"/>
                <w:b w:val="0"/>
                <w:sz w:val="21"/>
                <w:szCs w:val="21"/>
                <w:highlight w:val="none"/>
              </w:rPr>
              <w:t>现场固废排放；</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lang w:val="en-US" w:eastAsia="zh-CN"/>
              </w:rPr>
              <w:t>5）原料油、成品油化学品泄漏；</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lang w:val="en-US" w:eastAsia="zh-CN"/>
              </w:rPr>
              <w:t>6）设备维修，生产清洁的废含油面纱的排放；</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lang w:val="en-US" w:eastAsia="zh-CN"/>
              </w:rPr>
              <w:t>7）废气吸附更换的活性炭；</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lang w:val="en-US" w:eastAsia="zh-CN"/>
              </w:rPr>
              <w:t>8）生产设备运行产生的噪声排放等。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识别基本清楚、全面。</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rFonts w:hint="default" w:ascii="宋体" w:hAnsi="宋体" w:eastAsia="宋体" w:cs="宋体"/>
                <w:b w:val="0"/>
                <w:sz w:val="21"/>
                <w:szCs w:val="21"/>
                <w:highlight w:val="none"/>
                <w:lang w:val="en-US" w:eastAsia="zh-CN"/>
              </w:rPr>
            </w:pPr>
            <w:r>
              <w:rPr>
                <w:rFonts w:hint="eastAsia" w:ascii="宋体" w:hAnsi="宋体" w:eastAsia="宋体" w:cs="宋体"/>
                <w:b w:val="0"/>
                <w:sz w:val="21"/>
                <w:szCs w:val="21"/>
                <w:highlight w:val="none"/>
                <w:lang w:val="en-US" w:eastAsia="zh-CN"/>
              </w:rPr>
              <w:t>问询管理人员、现场巡视生产过程了解到：生技部重要环境因素有</w:t>
            </w:r>
            <w:r>
              <w:rPr>
                <w:rFonts w:hint="eastAsia" w:ascii="宋体" w:hAnsi="宋体" w:eastAsia="宋体" w:cs="宋体"/>
                <w:b w:val="0"/>
                <w:sz w:val="21"/>
                <w:szCs w:val="21"/>
                <w:highlight w:val="none"/>
              </w:rPr>
              <w:t>1）潜在火灾；2）固废排放</w:t>
            </w:r>
            <w:r>
              <w:rPr>
                <w:rFonts w:hint="eastAsia" w:ascii="宋体" w:hAnsi="宋体" w:eastAsia="宋体" w:cs="宋体"/>
                <w:b w:val="0"/>
                <w:sz w:val="21"/>
                <w:szCs w:val="21"/>
                <w:highlight w:val="none"/>
                <w:lang w:eastAsia="zh-CN"/>
              </w:rPr>
              <w:t>；</w:t>
            </w:r>
            <w:r>
              <w:rPr>
                <w:rFonts w:hint="eastAsia" w:ascii="宋体" w:hAnsi="宋体" w:eastAsia="宋体" w:cs="宋体"/>
                <w:b w:val="0"/>
                <w:sz w:val="21"/>
                <w:szCs w:val="21"/>
                <w:highlight w:val="none"/>
                <w:lang w:val="en-US" w:eastAsia="zh-CN"/>
              </w:rPr>
              <w:t>3）噪声排放；4）废气排放；5）化学品泄漏5项。</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w:t>
            </w:r>
            <w:r>
              <w:rPr>
                <w:rFonts w:hint="eastAsia" w:ascii="宋体" w:hAnsi="宋体" w:eastAsia="宋体" w:cs="宋体"/>
                <w:b w:val="0"/>
                <w:sz w:val="21"/>
                <w:szCs w:val="21"/>
                <w:highlight w:val="none"/>
                <w:lang w:eastAsia="zh-CN"/>
              </w:rPr>
              <w:t>综合办</w:t>
            </w:r>
            <w:r>
              <w:rPr>
                <w:rFonts w:hint="eastAsia" w:ascii="宋体" w:hAnsi="宋体" w:eastAsia="宋体" w:cs="宋体"/>
                <w:b w:val="0"/>
                <w:sz w:val="21"/>
                <w:szCs w:val="21"/>
                <w:highlight w:val="none"/>
              </w:rPr>
              <w:t>办公区域《环境因素评价表》</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a.废弃纸杯、日光灯管、墨盒等办公用品固废排放等；</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b.水、电、纸张等资源和能源消耗等；</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 xml:space="preserve">c.生活垃圾的排放； </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d.电气短路和违规用电用火造成的火灾</w:t>
            </w:r>
          </w:p>
          <w:p>
            <w:pPr>
              <w:keepNext w:val="0"/>
              <w:keepLines w:val="0"/>
              <w:pageBreakBefore w:val="0"/>
              <w:widowControl w:val="0"/>
              <w:kinsoku/>
              <w:wordWrap/>
              <w:overflowPunct/>
              <w:topLinePunct w:val="0"/>
              <w:autoSpaceDE/>
              <w:autoSpaceDN/>
              <w:bidi w:val="0"/>
              <w:adjustRightInd/>
              <w:snapToGrid/>
              <w:spacing w:after="0" w:line="240" w:lineRule="auto"/>
              <w:jc w:val="left"/>
              <w:textAlignment w:val="auto"/>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E</w:t>
            </w:r>
            <w:r>
              <w:rPr>
                <w:rFonts w:hint="eastAsia" w:ascii="宋体" w:hAnsi="宋体" w:cs="宋体"/>
                <w:b w:val="0"/>
                <w:sz w:val="21"/>
                <w:szCs w:val="21"/>
                <w:highlight w:val="none"/>
                <w:lang w:eastAsia="zh-CN"/>
              </w:rPr>
              <w:t>.</w:t>
            </w:r>
            <w:r>
              <w:rPr>
                <w:rFonts w:hint="eastAsia" w:ascii="宋体" w:hAnsi="宋体" w:eastAsia="宋体" w:cs="宋体"/>
                <w:b w:val="0"/>
                <w:sz w:val="21"/>
                <w:szCs w:val="21"/>
                <w:highlight w:val="none"/>
              </w:rPr>
              <w:t>生活污水排放等；</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jc w:val="left"/>
              <w:textAlignment w:val="auto"/>
              <w:rPr>
                <w:rFonts w:hint="eastAsia" w:ascii="宋体" w:hAnsi="宋体" w:eastAsia="宋体" w:cs="宋体"/>
                <w:b w:val="0"/>
                <w:kern w:val="2"/>
                <w:sz w:val="21"/>
                <w:szCs w:val="21"/>
                <w:highlight w:val="none"/>
                <w:lang w:val="en-US" w:eastAsia="zh-CN" w:bidi="ar-SA"/>
              </w:rPr>
            </w:pPr>
            <w:r>
              <w:rPr>
                <w:rFonts w:hint="eastAsia" w:ascii="宋体" w:hAnsi="宋体" w:eastAsia="宋体" w:cs="宋体"/>
                <w:b w:val="0"/>
                <w:sz w:val="21"/>
                <w:szCs w:val="21"/>
                <w:highlight w:val="none"/>
              </w:rPr>
              <w:t>识别基本清楚、全面。</w:t>
            </w:r>
          </w:p>
        </w:tc>
        <w:tc>
          <w:tcPr>
            <w:tcW w:w="89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160" w:type="dxa"/>
            <w:vAlign w:val="center"/>
          </w:tcPr>
          <w:p>
            <w:pPr>
              <w:rPr>
                <w:rFonts w:hint="default" w:ascii="Times New Roman" w:hAnsi="Times New Roman" w:eastAsia="宋体" w:cs="Times New Roman"/>
                <w:kern w:val="2"/>
                <w:sz w:val="21"/>
                <w:lang w:val="en-US" w:eastAsia="zh-CN" w:bidi="ar-SA"/>
              </w:rPr>
            </w:pPr>
            <w:r>
              <w:rPr>
                <w:rFonts w:hint="eastAsia"/>
                <w:lang w:val="en-US" w:eastAsia="zh-CN"/>
              </w:rPr>
              <w:t>合规义务及合规性评价</w:t>
            </w:r>
          </w:p>
        </w:tc>
        <w:tc>
          <w:tcPr>
            <w:tcW w:w="1058" w:type="dxa"/>
            <w:vAlign w:val="center"/>
          </w:tcPr>
          <w:p>
            <w:pPr>
              <w:rPr>
                <w:rFonts w:hint="default" w:ascii="Times New Roman" w:hAnsi="Times New Roman" w:eastAsia="宋体" w:cs="Times New Roman"/>
                <w:kern w:val="2"/>
                <w:sz w:val="21"/>
                <w:lang w:val="en-US" w:eastAsia="zh-CN" w:bidi="ar-SA"/>
              </w:rPr>
            </w:pPr>
            <w:r>
              <w:rPr>
                <w:rFonts w:hint="eastAsia"/>
                <w:lang w:val="en-US" w:eastAsia="zh-CN"/>
              </w:rPr>
              <w:t>E6.1.3/9.1.2</w:t>
            </w:r>
          </w:p>
        </w:tc>
        <w:tc>
          <w:tcPr>
            <w:tcW w:w="10596" w:type="dxa"/>
            <w:vAlign w:val="top"/>
          </w:tcPr>
          <w:p>
            <w:pPr>
              <w:keepNext w:val="0"/>
              <w:keepLines w:val="0"/>
              <w:pageBreakBefore w:val="0"/>
              <w:widowControl w:val="0"/>
              <w:tabs>
                <w:tab w:val="left" w:pos="-3"/>
              </w:tabs>
              <w:kinsoku/>
              <w:wordWrap/>
              <w:overflowPunct/>
              <w:topLinePunct w:val="0"/>
              <w:autoSpaceDE/>
              <w:autoSpaceDN/>
              <w:bidi w:val="0"/>
              <w:adjustRightInd/>
              <w:snapToGrid/>
              <w:spacing w:before="157" w:beforeLines="50" w:after="0" w:line="240" w:lineRule="auto"/>
              <w:textAlignment w:val="auto"/>
              <w:rPr>
                <w:rFonts w:hint="eastAsia" w:ascii="宋体" w:hAnsi="宋体"/>
                <w:kern w:val="0"/>
                <w:lang w:eastAsia="zh-CN"/>
              </w:rPr>
            </w:pPr>
            <w:r>
              <w:rPr>
                <w:rFonts w:hint="eastAsia"/>
                <w:lang w:val="en-US" w:eastAsia="zh-CN"/>
              </w:rPr>
              <w:t>执行公司</w:t>
            </w:r>
            <w:r>
              <w:rPr>
                <w:rFonts w:hint="eastAsia"/>
              </w:rPr>
              <w:t>《法律法规及其他要求控制程序</w:t>
            </w:r>
            <w:r>
              <w:rPr>
                <w:rFonts w:hint="eastAsia"/>
              </w:rPr>
              <w:tab/>
            </w:r>
            <w:r>
              <w:rPr>
                <w:rFonts w:hint="eastAsia"/>
              </w:rPr>
              <w:t>YDBR-PD05》，</w:t>
            </w:r>
            <w:r>
              <w:rPr>
                <w:rFonts w:hint="eastAsia"/>
                <w:lang w:val="en-US" w:eastAsia="zh-CN"/>
              </w:rPr>
              <w:t>程序规定办公室</w:t>
            </w:r>
            <w:r>
              <w:rPr>
                <w:rFonts w:hint="eastAsia" w:ascii="宋体" w:hAnsi="宋体"/>
                <w:kern w:val="0"/>
              </w:rPr>
              <w:t>负责与质量、环境和职业健康安全有关的法律法规和其他要求的收集、识别、确认、控制、传递和建立、更新</w:t>
            </w:r>
            <w:r>
              <w:rPr>
                <w:rFonts w:hint="eastAsia" w:ascii="宋体" w:hAnsi="宋体"/>
                <w:kern w:val="0"/>
                <w:lang w:eastAsia="zh-CN"/>
              </w:rPr>
              <w:t>。</w:t>
            </w:r>
          </w:p>
          <w:p>
            <w:pPr>
              <w:keepNext w:val="0"/>
              <w:keepLines w:val="0"/>
              <w:pageBreakBefore w:val="0"/>
              <w:widowControl w:val="0"/>
              <w:tabs>
                <w:tab w:val="left" w:pos="-3"/>
              </w:tabs>
              <w:kinsoku/>
              <w:wordWrap/>
              <w:overflowPunct/>
              <w:topLinePunct w:val="0"/>
              <w:autoSpaceDE/>
              <w:autoSpaceDN/>
              <w:bidi w:val="0"/>
              <w:adjustRightInd/>
              <w:snapToGrid/>
              <w:spacing w:before="157" w:beforeLines="50" w:after="0" w:line="240" w:lineRule="auto"/>
              <w:textAlignment w:val="auto"/>
              <w:rPr>
                <w:rFonts w:hint="eastAsia" w:ascii="宋体" w:hAnsi="宋体"/>
                <w:kern w:val="0"/>
              </w:rPr>
            </w:pPr>
            <w:r>
              <w:rPr>
                <w:rFonts w:hint="eastAsia" w:ascii="宋体" w:hAnsi="宋体"/>
                <w:kern w:val="0"/>
                <w:lang w:val="en-US" w:eastAsia="zh-CN"/>
              </w:rPr>
              <w:t>提供有</w:t>
            </w:r>
            <w:r>
              <w:rPr>
                <w:rFonts w:hint="eastAsia" w:ascii="宋体" w:hAnsi="宋体"/>
                <w:kern w:val="0"/>
              </w:rPr>
              <w:t>《法律法规</w:t>
            </w:r>
            <w:r>
              <w:rPr>
                <w:rFonts w:hint="eastAsia" w:ascii="宋体" w:hAnsi="宋体"/>
              </w:rPr>
              <w:t>及其他要求</w:t>
            </w:r>
            <w:r>
              <w:rPr>
                <w:rFonts w:hint="eastAsia" w:ascii="宋体" w:hAnsi="宋体"/>
                <w:kern w:val="0"/>
              </w:rPr>
              <w:t>清单》</w:t>
            </w:r>
            <w:r>
              <w:rPr>
                <w:rFonts w:hint="eastAsia"/>
              </w:rPr>
              <w:t>，对本公司环境管理体系适用的法律法规和当地政府、行业要求进行了识别，包括环境质量标准、排放标准、职业健康安全卫生标准等。《</w:t>
            </w:r>
            <w:r>
              <w:rPr>
                <w:rFonts w:hint="eastAsia" w:ascii="宋体" w:hAnsi="宋体"/>
                <w:kern w:val="0"/>
              </w:rPr>
              <w:t>法律法规</w:t>
            </w:r>
            <w:r>
              <w:rPr>
                <w:rFonts w:hint="eastAsia" w:ascii="宋体" w:hAnsi="宋体"/>
              </w:rPr>
              <w:t>及其他要求</w:t>
            </w:r>
            <w:r>
              <w:rPr>
                <w:rFonts w:hint="eastAsia" w:ascii="宋体" w:hAnsi="宋体"/>
                <w:kern w:val="0"/>
              </w:rPr>
              <w:t>清单</w:t>
            </w:r>
            <w:r>
              <w:rPr>
                <w:rFonts w:hint="eastAsia"/>
              </w:rPr>
              <w:t>清单》中列出了法规名称、颁布实</w:t>
            </w:r>
            <w:r>
              <w:rPr>
                <w:rFonts w:hint="eastAsia" w:ascii="宋体" w:hAnsi="宋体"/>
                <w:kern w:val="0"/>
              </w:rPr>
              <w:t>施时间、适用条款等内容；</w:t>
            </w:r>
          </w:p>
          <w:p>
            <w:pPr>
              <w:keepNext w:val="0"/>
              <w:keepLines w:val="0"/>
              <w:pageBreakBefore w:val="0"/>
              <w:widowControl w:val="0"/>
              <w:tabs>
                <w:tab w:val="left" w:pos="-3"/>
              </w:tabs>
              <w:kinsoku/>
              <w:wordWrap/>
              <w:overflowPunct/>
              <w:topLinePunct w:val="0"/>
              <w:autoSpaceDE/>
              <w:autoSpaceDN/>
              <w:bidi w:val="0"/>
              <w:adjustRightInd/>
              <w:snapToGrid/>
              <w:spacing w:before="157" w:beforeLines="50" w:after="0" w:line="240" w:lineRule="auto"/>
              <w:textAlignment w:val="auto"/>
              <w:rPr>
                <w:rFonts w:hint="eastAsia" w:ascii="宋体" w:hAnsi="宋体"/>
                <w:kern w:val="0"/>
                <w:lang w:val="en-US" w:eastAsia="zh-CN"/>
              </w:rPr>
            </w:pPr>
            <w:r>
              <w:rPr>
                <w:rFonts w:hint="eastAsia" w:ascii="宋体" w:hAnsi="宋体"/>
                <w:kern w:val="0"/>
                <w:lang w:val="en-US" w:eastAsia="zh-CN"/>
              </w:rPr>
              <w:t>收集的使用的环境方面的法律法规及其他要求有：</w:t>
            </w:r>
          </w:p>
          <w:p>
            <w:pPr>
              <w:keepNext w:val="0"/>
              <w:keepLines w:val="0"/>
              <w:pageBreakBefore w:val="0"/>
              <w:widowControl w:val="0"/>
              <w:tabs>
                <w:tab w:val="left" w:pos="-3"/>
              </w:tabs>
              <w:kinsoku/>
              <w:wordWrap/>
              <w:overflowPunct/>
              <w:topLinePunct w:val="0"/>
              <w:autoSpaceDE/>
              <w:autoSpaceDN/>
              <w:bidi w:val="0"/>
              <w:adjustRightInd/>
              <w:snapToGrid/>
              <w:spacing w:before="157" w:beforeLines="50" w:after="0" w:line="240" w:lineRule="auto"/>
              <w:textAlignment w:val="auto"/>
              <w:rPr>
                <w:rFonts w:hint="eastAsia" w:ascii="宋体" w:hAnsi="宋体"/>
                <w:kern w:val="0"/>
              </w:rPr>
            </w:pPr>
            <w:r>
              <w:rPr>
                <w:rFonts w:hint="eastAsia" w:ascii="宋体" w:hAnsi="宋体"/>
                <w:kern w:val="0"/>
                <w:lang w:val="en-US" w:eastAsia="zh-CN"/>
              </w:rPr>
              <w:t>中华人民共和国噪声污染防治法</w:t>
            </w:r>
          </w:p>
          <w:p>
            <w:pPr>
              <w:keepNext w:val="0"/>
              <w:keepLines w:val="0"/>
              <w:pageBreakBefore w:val="0"/>
              <w:widowControl w:val="0"/>
              <w:tabs>
                <w:tab w:val="left" w:pos="-3"/>
              </w:tabs>
              <w:kinsoku/>
              <w:wordWrap/>
              <w:overflowPunct/>
              <w:topLinePunct w:val="0"/>
              <w:autoSpaceDE/>
              <w:autoSpaceDN/>
              <w:bidi w:val="0"/>
              <w:adjustRightInd/>
              <w:snapToGrid/>
              <w:spacing w:before="157" w:beforeLines="50" w:after="0" w:line="240" w:lineRule="auto"/>
              <w:textAlignment w:val="auto"/>
            </w:pPr>
            <w:r>
              <w:rPr>
                <w:rFonts w:hint="eastAsia" w:ascii="宋体" w:hAnsi="宋体"/>
                <w:kern w:val="0"/>
              </w:rPr>
              <w:t>中华人民共和国</w:t>
            </w:r>
            <w:r>
              <w:rPr>
                <w:rFonts w:hint="eastAsia"/>
              </w:rPr>
              <w:t>消防法</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rPr>
            </w:pPr>
            <w:r>
              <w:rPr>
                <w:rFonts w:hint="eastAsia"/>
              </w:rPr>
              <w:t>固体废弃物污染防治法</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rPr>
            </w:pPr>
            <w:r>
              <w:rPr>
                <w:rFonts w:hint="eastAsia"/>
              </w:rPr>
              <w:t>河北省固体废物污染环境防治条例</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rPr>
            </w:pPr>
            <w:r>
              <w:rPr>
                <w:rFonts w:hint="eastAsia"/>
              </w:rPr>
              <w:t>河北省环境污染防治监督管理办法</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lang w:val="en-US" w:eastAsia="zh-CN"/>
              </w:rPr>
            </w:pPr>
            <w:r>
              <w:rPr>
                <w:rFonts w:hint="eastAsia"/>
                <w:lang w:val="en-US" w:eastAsia="zh-CN"/>
              </w:rPr>
              <w:t>突发环境时间紧急管理办法</w:t>
            </w:r>
            <w:r>
              <w:rPr>
                <w:rFonts w:hint="eastAsia"/>
              </w:rPr>
              <w:t>等</w:t>
            </w:r>
            <w:r>
              <w:rPr>
                <w:rFonts w:hint="eastAsia"/>
                <w:lang w:val="en-US" w:eastAsia="zh-CN"/>
              </w:rPr>
              <w:t>法律法规</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rPr>
            </w:pPr>
            <w:r>
              <w:rPr>
                <w:rFonts w:hint="eastAsia"/>
              </w:rPr>
              <w:t>法规清单上传内部网络，以培训和宣传结合向员工传达要求，记录充分。基本符合要求。</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default"/>
                <w:lang w:val="en-US" w:eastAsia="zh-CN"/>
              </w:rPr>
            </w:pPr>
            <w:r>
              <w:rPr>
                <w:rFonts w:hint="eastAsia"/>
                <w:color w:val="0000FF"/>
                <w:lang w:val="en-US" w:eastAsia="zh-CN"/>
              </w:rPr>
              <w:t>提供的“环境法律法规合规性评价记录表”中“中华人民共和国循环经济促进法”、“国家危险废物名录”、“河北省节约能源条例”未更新，已开观察项报告</w:t>
            </w:r>
            <w:r>
              <w:rPr>
                <w:rFonts w:hint="eastAsia"/>
                <w:lang w:val="en-US" w:eastAsia="zh-CN"/>
              </w:rPr>
              <w:t>，建议下次审核关注。</w:t>
            </w:r>
          </w:p>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hint="eastAsia"/>
                <w:lang w:val="en-US" w:eastAsia="zh-CN"/>
              </w:rPr>
            </w:pPr>
            <w:r>
              <w:rPr>
                <w:rFonts w:hint="eastAsia"/>
                <w:lang w:val="en-US" w:eastAsia="zh-CN"/>
              </w:rPr>
              <w:t>按照</w:t>
            </w:r>
            <w:r>
              <w:rPr>
                <w:rFonts w:hint="eastAsia"/>
              </w:rPr>
              <w:t>《合规性评价控制程序》，</w:t>
            </w:r>
            <w:r>
              <w:rPr>
                <w:rFonts w:hint="eastAsia"/>
                <w:lang w:val="en-US" w:eastAsia="zh-CN"/>
              </w:rPr>
              <w:t>办公室每12个月至少组织一次公司各有关部门遵守法律法规和其他要求的情况。</w:t>
            </w:r>
          </w:p>
          <w:p>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lang w:val="en-US" w:eastAsia="zh-CN"/>
              </w:rPr>
            </w:pPr>
            <w:r>
              <w:rPr>
                <w:rFonts w:hint="eastAsia"/>
                <w:lang w:val="en-US" w:eastAsia="zh-CN"/>
              </w:rPr>
              <w:t>查企业于2022年12月6日组织人员进行了合规性评价。</w:t>
            </w:r>
          </w:p>
          <w:p>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提供了合规性评价记录表，对用电管理、机械伤害、消防安全、固废排放、火灾爆炸、危化品泄漏等方面使用的法律法规适用条款、适用内容、现状及符合性进行了评价。</w:t>
            </w:r>
          </w:p>
          <w:p>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提供了《2022年合规性的评价报告》，对合规性评价进行了总结。</w:t>
            </w:r>
          </w:p>
          <w:p>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合规性评价结论：</w:t>
            </w:r>
          </w:p>
          <w:p>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a.对相关部门的活动的合规性评价来看，各部门将自身环境和职业健康安全行为与公司确定的、适用于环境因素和危险源的法律法规和其他要求适用条款进行逐一对照，并将这些要求贯彻并应用于重要环境因素影响和危险源的控制、方针的实现、目标指标的达成、相关运行控制程序和应急程序的有效实施。</w:t>
            </w:r>
          </w:p>
          <w:p>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imes New Roman" w:hAnsi="Times New Roman" w:cs="Times New Roman"/>
                <w:lang w:val="en-US" w:eastAsia="zh-CN"/>
              </w:rPr>
            </w:pPr>
            <w:r>
              <w:rPr>
                <w:rFonts w:hint="eastAsia" w:ascii="Times New Roman" w:hAnsi="Times New Roman" w:cs="Times New Roman"/>
                <w:lang w:val="en-US" w:eastAsia="zh-CN"/>
              </w:rPr>
              <w:t>b.此次环境和职业健康安全法律、法规符合性评价涉及了水、气、声的排放、固废的、安全、职业病管理处置、能源管理、服务管理等内容，从总体上讲，公司环境和职业健康安全行为符合相关环境法规要求，基本实现了组织对遵守法律法规及其他要求的承诺。</w:t>
            </w:r>
          </w:p>
          <w:p>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ascii="Times New Roman" w:hAnsi="Times New Roman" w:eastAsia="宋体" w:cs="Times New Roman"/>
                <w:lang w:val="en-US" w:eastAsia="zh-CN"/>
              </w:rPr>
            </w:pPr>
            <w:r>
              <w:rPr>
                <w:rFonts w:hint="eastAsia" w:ascii="Times New Roman" w:hAnsi="Times New Roman" w:cs="Times New Roman"/>
                <w:lang w:val="en-US" w:eastAsia="zh-CN"/>
              </w:rPr>
              <w:t>c.因大家对管理体系文件的不太了解，熟悉。导致一些程序等还执行不到位。以后要加强监督，加强大家环保和职业健康安全意识，加大宣传力度，使大家从被动变为主动；及时补充相应的记录，进一步加强环境和职业健康安全运行的控制及实施。加强环境和职业健康安全方面的检查及监督。公司在对相关方施加影响的工作还需加大力度。</w:t>
            </w:r>
          </w:p>
          <w:p>
            <w:pPr>
              <w:keepNext w:val="0"/>
              <w:keepLines w:val="0"/>
              <w:pageBreakBefore w:val="0"/>
              <w:widowControl w:val="0"/>
              <w:kinsoku/>
              <w:wordWrap/>
              <w:overflowPunct/>
              <w:topLinePunct w:val="0"/>
              <w:autoSpaceDE/>
              <w:autoSpaceDN/>
              <w:bidi w:val="0"/>
              <w:adjustRightInd/>
              <w:snapToGrid/>
              <w:spacing w:before="157" w:beforeLines="50"/>
              <w:jc w:val="left"/>
              <w:textAlignment w:val="auto"/>
              <w:rPr>
                <w:rFonts w:hint="eastAsia"/>
                <w:lang w:val="en-US" w:eastAsia="zh-CN"/>
              </w:rPr>
            </w:pPr>
            <w:r>
              <w:rPr>
                <w:rFonts w:hint="eastAsia" w:ascii="Times New Roman" w:hAnsi="Times New Roman" w:eastAsia="宋体" w:cs="Times New Roman"/>
                <w:lang w:val="en-US" w:eastAsia="zh-CN"/>
              </w:rPr>
              <w:t>评价小组：王欢 王西海 2022年12月06日</w:t>
            </w:r>
          </w:p>
        </w:tc>
        <w:tc>
          <w:tcPr>
            <w:tcW w:w="89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jc w:val="center"/>
        </w:trPr>
        <w:tc>
          <w:tcPr>
            <w:tcW w:w="2160" w:type="dxa"/>
            <w:vAlign w:val="center"/>
          </w:tcPr>
          <w:p>
            <w:pPr>
              <w:rPr>
                <w:rFonts w:hint="default" w:ascii="Times New Roman" w:hAnsi="Times New Roman" w:eastAsia="宋体" w:cs="Times New Roman"/>
                <w:kern w:val="2"/>
                <w:sz w:val="21"/>
                <w:lang w:val="en-US" w:eastAsia="zh-CN" w:bidi="ar-SA"/>
              </w:rPr>
            </w:pPr>
            <w:r>
              <w:rPr>
                <w:rFonts w:hint="eastAsia"/>
                <w:lang w:val="en-US" w:eastAsia="zh-CN"/>
              </w:rPr>
              <w:t>措施的策划</w:t>
            </w:r>
          </w:p>
        </w:tc>
        <w:tc>
          <w:tcPr>
            <w:tcW w:w="1058" w:type="dxa"/>
            <w:vAlign w:val="center"/>
          </w:tcPr>
          <w:p>
            <w:pPr>
              <w:rPr>
                <w:rFonts w:hint="default" w:ascii="Times New Roman" w:hAnsi="Times New Roman" w:eastAsia="宋体" w:cs="Times New Roman"/>
                <w:kern w:val="2"/>
                <w:sz w:val="21"/>
                <w:lang w:val="en-US" w:eastAsia="zh-CN" w:bidi="ar-SA"/>
              </w:rPr>
            </w:pPr>
            <w:r>
              <w:rPr>
                <w:rFonts w:hint="eastAsia"/>
                <w:lang w:val="en-US" w:eastAsia="zh-CN"/>
              </w:rPr>
              <w:t>E6.1.4</w:t>
            </w:r>
          </w:p>
        </w:tc>
        <w:tc>
          <w:tcPr>
            <w:tcW w:w="10596" w:type="dxa"/>
            <w:vAlign w:val="top"/>
          </w:tcPr>
          <w:p>
            <w:pPr>
              <w:keepNext w:val="0"/>
              <w:keepLines w:val="0"/>
              <w:pageBreakBefore w:val="0"/>
              <w:widowControl w:val="0"/>
              <w:tabs>
                <w:tab w:val="left" w:pos="1800"/>
              </w:tabs>
              <w:kinsoku/>
              <w:wordWrap/>
              <w:overflowPunct/>
              <w:topLinePunct w:val="0"/>
              <w:autoSpaceDE/>
              <w:autoSpaceDN/>
              <w:bidi w:val="0"/>
              <w:adjustRightInd/>
              <w:snapToGrid/>
              <w:spacing w:before="157" w:beforeLines="50" w:after="0" w:line="240" w:lineRule="auto"/>
              <w:ind w:right="15" w:rightChars="7"/>
              <w:jc w:val="left"/>
              <w:textAlignment w:val="auto"/>
              <w:rPr>
                <w:rFonts w:hint="eastAsia" w:ascii="宋体" w:hAnsi="宋体" w:eastAsia="宋体" w:cs="宋体"/>
                <w:b w:val="0"/>
                <w:kern w:val="2"/>
                <w:sz w:val="21"/>
                <w:szCs w:val="21"/>
                <w:lang w:val="en-US" w:eastAsia="zh-CN" w:bidi="ar-SA"/>
              </w:rPr>
            </w:pPr>
            <w:r>
              <w:rPr>
                <w:rFonts w:hint="eastAsia" w:ascii="宋体" w:hAnsi="宋体" w:eastAsia="宋体" w:cs="宋体"/>
                <w:b w:val="0"/>
                <w:sz w:val="21"/>
                <w:szCs w:val="21"/>
              </w:rPr>
              <w:t>组织管理层策划关于开展环境管理体系中所采取措施，以便管理环境目标、环境因素、合规性义务、组织识别的风险等。通过合规性评价、目标考核、运行方案、管理评审、内外部沟通等方式以保证管理体系达到预期结果。具体见各部门审核记录。</w:t>
            </w:r>
          </w:p>
        </w:tc>
        <w:tc>
          <w:tcPr>
            <w:tcW w:w="895" w:type="dxa"/>
          </w:tcPr>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2160" w:type="dxa"/>
            <w:vAlign w:val="center"/>
          </w:tcPr>
          <w:p>
            <w:pPr>
              <w:rPr>
                <w:szCs w:val="21"/>
              </w:rPr>
            </w:pPr>
            <w:r>
              <w:rPr>
                <w:rFonts w:hint="eastAsia"/>
              </w:rPr>
              <w:t>运行控制</w:t>
            </w:r>
          </w:p>
        </w:tc>
        <w:tc>
          <w:tcPr>
            <w:tcW w:w="1058" w:type="dxa"/>
            <w:vAlign w:val="center"/>
          </w:tcPr>
          <w:p>
            <w:pPr>
              <w:keepNext w:val="0"/>
              <w:keepLines w:val="0"/>
              <w:pageBreakBefore w:val="0"/>
              <w:tabs>
                <w:tab w:val="left" w:pos="1800"/>
              </w:tabs>
              <w:kinsoku/>
              <w:wordWrap/>
              <w:overflowPunct/>
              <w:topLinePunct w:val="0"/>
              <w:bidi w:val="0"/>
              <w:spacing w:after="0" w:line="240" w:lineRule="auto"/>
              <w:ind w:right="15" w:rightChars="7"/>
              <w:jc w:val="left"/>
              <w:rPr>
                <w:rFonts w:hint="eastAsia" w:ascii="宋体" w:hAnsi="宋体" w:eastAsia="宋体" w:cs="宋体"/>
                <w:b w:val="0"/>
                <w:sz w:val="21"/>
                <w:szCs w:val="21"/>
              </w:rPr>
            </w:pPr>
            <w:r>
              <w:rPr>
                <w:rFonts w:hint="eastAsia" w:ascii="宋体" w:hAnsi="宋体" w:eastAsia="宋体" w:cs="宋体"/>
                <w:b w:val="0"/>
                <w:sz w:val="21"/>
                <w:szCs w:val="21"/>
              </w:rPr>
              <w:t>E8.1</w:t>
            </w:r>
          </w:p>
        </w:tc>
        <w:tc>
          <w:tcPr>
            <w:tcW w:w="10596" w:type="dxa"/>
            <w:vAlign w:val="center"/>
          </w:tcPr>
          <w:p>
            <w:pPr>
              <w:keepNext w:val="0"/>
              <w:keepLines w:val="0"/>
              <w:pageBreakBefore w:val="0"/>
              <w:tabs>
                <w:tab w:val="left" w:pos="1800"/>
              </w:tabs>
              <w:kinsoku/>
              <w:wordWrap/>
              <w:overflowPunct/>
              <w:topLinePunct w:val="0"/>
              <w:autoSpaceDE/>
              <w:autoSpaceDN/>
              <w:bidi w:val="0"/>
              <w:adjustRightInd/>
              <w:snapToGrid/>
              <w:spacing w:before="157" w:beforeLines="50" w:after="0" w:line="240" w:lineRule="auto"/>
              <w:ind w:right="15" w:rightChars="7"/>
              <w:jc w:val="left"/>
              <w:textAlignment w:val="auto"/>
              <w:rPr>
                <w:rFonts w:hint="eastAsia"/>
              </w:rPr>
            </w:pPr>
            <w:r>
              <w:rPr>
                <w:rFonts w:hint="eastAsia"/>
                <w:lang w:val="en-US" w:eastAsia="zh-CN"/>
              </w:rPr>
              <w:t>办公室需</w:t>
            </w:r>
            <w:r>
              <w:rPr>
                <w:rFonts w:hint="eastAsia"/>
              </w:rPr>
              <w:t>执行的运行控制文件包括：废弃物处理管理制度，消防管理制度、</w:t>
            </w:r>
            <w:r>
              <w:rPr>
                <w:rFonts w:hint="eastAsia"/>
                <w:lang w:val="zh-CN"/>
              </w:rPr>
              <w:t>生产和服务控制程序</w:t>
            </w:r>
            <w:r>
              <w:rPr>
                <w:rFonts w:hint="eastAsia"/>
              </w:rPr>
              <w:t>、</w:t>
            </w:r>
            <w:r>
              <w:rPr>
                <w:rFonts w:hint="eastAsia"/>
                <w:lang w:val="zh-CN"/>
              </w:rPr>
              <w:t>法律与其它要求控制程序</w:t>
            </w:r>
            <w:r>
              <w:rPr>
                <w:rFonts w:hint="eastAsia"/>
              </w:rPr>
              <w:t>、</w:t>
            </w:r>
            <w:r>
              <w:rPr>
                <w:rFonts w:hint="eastAsia"/>
                <w:lang w:val="en-GB"/>
              </w:rPr>
              <w:t>车辆管理规定</w:t>
            </w:r>
            <w:r>
              <w:rPr>
                <w:rFonts w:hint="eastAsia"/>
              </w:rPr>
              <w:t>等。</w:t>
            </w:r>
          </w:p>
          <w:p>
            <w:pPr>
              <w:keepNext w:val="0"/>
              <w:keepLines w:val="0"/>
              <w:pageBreakBefore w:val="0"/>
              <w:tabs>
                <w:tab w:val="left" w:pos="1800"/>
              </w:tabs>
              <w:kinsoku/>
              <w:wordWrap/>
              <w:overflowPunct/>
              <w:topLinePunct w:val="0"/>
              <w:autoSpaceDE/>
              <w:autoSpaceDN/>
              <w:bidi w:val="0"/>
              <w:adjustRightInd/>
              <w:snapToGrid/>
              <w:spacing w:before="157" w:beforeLines="50" w:after="0" w:line="240" w:lineRule="auto"/>
              <w:ind w:right="15" w:rightChars="7"/>
              <w:jc w:val="left"/>
              <w:textAlignment w:val="auto"/>
              <w:rPr>
                <w:rFonts w:hint="default"/>
                <w:lang w:val="en-US" w:eastAsia="zh-CN"/>
              </w:rPr>
            </w:pPr>
            <w:r>
              <w:rPr>
                <w:rFonts w:hint="eastAsia"/>
              </w:rPr>
              <w:t>办公用品</w:t>
            </w:r>
            <w:r>
              <w:rPr>
                <w:rFonts w:hint="eastAsia"/>
                <w:lang w:val="en-US" w:eastAsia="zh-CN"/>
              </w:rPr>
              <w:t>和劳保用品按要求由办公室负责发放，作好记录。</w:t>
            </w:r>
          </w:p>
          <w:p>
            <w:pPr>
              <w:keepNext w:val="0"/>
              <w:keepLines w:val="0"/>
              <w:pageBreakBefore w:val="0"/>
              <w:tabs>
                <w:tab w:val="left" w:pos="1800"/>
              </w:tabs>
              <w:kinsoku/>
              <w:wordWrap/>
              <w:overflowPunct/>
              <w:topLinePunct w:val="0"/>
              <w:autoSpaceDE/>
              <w:autoSpaceDN/>
              <w:bidi w:val="0"/>
              <w:adjustRightInd/>
              <w:snapToGrid/>
              <w:spacing w:before="157" w:beforeLines="50" w:after="0" w:line="240" w:lineRule="auto"/>
              <w:ind w:right="15" w:rightChars="7"/>
              <w:jc w:val="left"/>
              <w:textAlignment w:val="auto"/>
              <w:rPr>
                <w:rFonts w:hint="eastAsia"/>
                <w:lang w:val="en-US" w:eastAsia="zh-CN"/>
              </w:rPr>
            </w:pPr>
            <w:r>
              <w:rPr>
                <w:rFonts w:hint="eastAsia"/>
                <w:lang w:val="en-US" w:eastAsia="zh-CN"/>
              </w:rPr>
              <w:t>废水排放：主要是清洁和生活污水，用于厂区清洁和绿化，无外排；车间产生的废水排入地下污水池，定期安排第三方检测；</w:t>
            </w:r>
          </w:p>
          <w:p>
            <w:pPr>
              <w:keepNext w:val="0"/>
              <w:keepLines w:val="0"/>
              <w:pageBreakBefore w:val="0"/>
              <w:tabs>
                <w:tab w:val="left" w:pos="1800"/>
              </w:tabs>
              <w:kinsoku/>
              <w:wordWrap/>
              <w:overflowPunct/>
              <w:topLinePunct w:val="0"/>
              <w:autoSpaceDE/>
              <w:autoSpaceDN/>
              <w:bidi w:val="0"/>
              <w:adjustRightInd/>
              <w:snapToGrid/>
              <w:spacing w:before="157" w:beforeLines="50" w:after="0" w:line="240" w:lineRule="auto"/>
              <w:ind w:right="15" w:rightChars="7"/>
              <w:jc w:val="left"/>
              <w:textAlignment w:val="auto"/>
              <w:rPr>
                <w:rFonts w:hint="eastAsia"/>
                <w:lang w:val="en-US" w:eastAsia="zh-CN"/>
              </w:rPr>
            </w:pPr>
            <w:r>
              <w:rPr>
                <w:rFonts w:hint="eastAsia"/>
                <w:lang w:val="en-US" w:eastAsia="zh-CN"/>
              </w:rPr>
              <w:t>噪声：办公过程无重大噪声，车间噪声定期安排第三方检测；</w:t>
            </w:r>
          </w:p>
          <w:p>
            <w:pPr>
              <w:keepNext w:val="0"/>
              <w:keepLines w:val="0"/>
              <w:pageBreakBefore w:val="0"/>
              <w:kinsoku/>
              <w:wordWrap/>
              <w:overflowPunct/>
              <w:topLinePunct w:val="0"/>
              <w:autoSpaceDE/>
              <w:autoSpaceDN/>
              <w:bidi w:val="0"/>
              <w:adjustRightInd/>
              <w:snapToGrid/>
              <w:spacing w:before="157" w:beforeLines="50" w:line="240" w:lineRule="auto"/>
              <w:textAlignment w:val="auto"/>
              <w:rPr>
                <w:rFonts w:hint="default"/>
                <w:lang w:val="en-US" w:eastAsia="zh-CN"/>
              </w:rPr>
            </w:pPr>
            <w:r>
              <w:rPr>
                <w:rFonts w:hint="eastAsia" w:ascii="宋体" w:hAnsi="宋体" w:eastAsia="宋体" w:cs="宋体"/>
                <w:szCs w:val="21"/>
                <w:lang w:val="en-US" w:eastAsia="zh-CN"/>
              </w:rPr>
              <w:t>2022年11月废水、噪声监测报告（报告编号：盈通（检）字HBYT15WT202209-45）。符合排放的要求。</w:t>
            </w:r>
          </w:p>
          <w:p>
            <w:pPr>
              <w:keepNext w:val="0"/>
              <w:keepLines w:val="0"/>
              <w:pageBreakBefore w:val="0"/>
              <w:tabs>
                <w:tab w:val="left" w:pos="1800"/>
              </w:tabs>
              <w:kinsoku/>
              <w:wordWrap/>
              <w:overflowPunct/>
              <w:topLinePunct w:val="0"/>
              <w:autoSpaceDE/>
              <w:autoSpaceDN/>
              <w:bidi w:val="0"/>
              <w:adjustRightInd/>
              <w:snapToGrid/>
              <w:spacing w:before="157" w:beforeLines="50" w:after="0" w:line="240" w:lineRule="auto"/>
              <w:ind w:right="15" w:rightChars="7"/>
              <w:jc w:val="left"/>
              <w:textAlignment w:val="auto"/>
              <w:rPr>
                <w:rFonts w:hint="eastAsia"/>
                <w:lang w:val="en-US" w:eastAsia="zh-CN"/>
              </w:rPr>
            </w:pPr>
            <w:r>
              <w:rPr>
                <w:rFonts w:hint="eastAsia"/>
                <w:lang w:val="en-US" w:eastAsia="zh-CN"/>
              </w:rPr>
              <w:t>水电消耗：日常办公注意节水节电，不浪费；办公纸张尽量采取双面打印，人走灯灭，定期检查水管跑冒滴漏。</w:t>
            </w:r>
          </w:p>
          <w:p>
            <w:pPr>
              <w:keepNext w:val="0"/>
              <w:keepLines w:val="0"/>
              <w:pageBreakBefore w:val="0"/>
              <w:tabs>
                <w:tab w:val="left" w:pos="1800"/>
              </w:tabs>
              <w:kinsoku/>
              <w:wordWrap/>
              <w:overflowPunct/>
              <w:topLinePunct w:val="0"/>
              <w:autoSpaceDE/>
              <w:autoSpaceDN/>
              <w:bidi w:val="0"/>
              <w:adjustRightInd/>
              <w:snapToGrid/>
              <w:spacing w:before="157" w:beforeLines="50" w:after="0" w:line="240" w:lineRule="auto"/>
              <w:ind w:right="15" w:rightChars="7"/>
              <w:jc w:val="left"/>
              <w:textAlignment w:val="auto"/>
              <w:rPr>
                <w:rFonts w:hint="eastAsia"/>
              </w:rPr>
            </w:pPr>
            <w:r>
              <w:rPr>
                <w:rFonts w:hint="eastAsia"/>
                <w:lang w:val="en-US" w:eastAsia="zh-CN"/>
              </w:rPr>
              <w:t>固废：办公过程产生的</w:t>
            </w:r>
            <w:r>
              <w:rPr>
                <w:rFonts w:hint="eastAsia"/>
              </w:rPr>
              <w:t>固废（一般固废，如纸张、外包装等）按办公室要求放到指定地点，</w:t>
            </w:r>
            <w:r>
              <w:rPr>
                <w:rFonts w:hint="eastAsia"/>
                <w:lang w:eastAsia="zh-CN"/>
              </w:rPr>
              <w:t>车间固废由生技部定点分类存放，办公室定期外售，</w:t>
            </w:r>
            <w:r>
              <w:rPr>
                <w:rFonts w:hint="eastAsia"/>
              </w:rPr>
              <w:t>现场无混放现象；生活办公垃圾按照规定放置指定区域。提供了</w:t>
            </w:r>
            <w:r>
              <w:rPr>
                <w:rFonts w:hint="eastAsia"/>
                <w:lang w:eastAsia="zh-CN"/>
              </w:rPr>
              <w:t>《</w:t>
            </w:r>
            <w:r>
              <w:rPr>
                <w:rFonts w:hint="eastAsia"/>
              </w:rPr>
              <w:t>废弃物</w:t>
            </w:r>
            <w:r>
              <w:rPr>
                <w:rFonts w:hint="eastAsia"/>
                <w:lang w:eastAsia="zh-CN"/>
              </w:rPr>
              <w:t>分类</w:t>
            </w:r>
            <w:r>
              <w:rPr>
                <w:rFonts w:hint="eastAsia"/>
              </w:rPr>
              <w:t>处置记录》，打印纸、包装、纸箱等进行了变卖，办公室废弃灯管等交由厂家回收。</w:t>
            </w:r>
          </w:p>
          <w:p>
            <w:pPr>
              <w:keepNext w:val="0"/>
              <w:keepLines w:val="0"/>
              <w:pageBreakBefore w:val="0"/>
              <w:kinsoku/>
              <w:wordWrap/>
              <w:overflowPunct/>
              <w:topLinePunct w:val="0"/>
              <w:autoSpaceDE/>
              <w:autoSpaceDN/>
              <w:bidi w:val="0"/>
              <w:adjustRightInd/>
              <w:snapToGrid/>
              <w:spacing w:before="157" w:beforeLines="50"/>
              <w:textAlignment w:val="auto"/>
              <w:rPr>
                <w:rFonts w:hint="default"/>
                <w:lang w:val="en-US" w:eastAsia="zh-CN"/>
              </w:rPr>
            </w:pPr>
            <w:r>
              <w:rPr>
                <w:rFonts w:hint="eastAsia"/>
                <w:lang w:val="en-US" w:eastAsia="zh-CN"/>
              </w:rPr>
              <w:t>危废处置：厂区设置了危废间，危废暂存危废间，车间生产产生的废活性炭，废含油面纱，过滤丝网，废过滤物等分类收集存放。</w:t>
            </w:r>
          </w:p>
          <w:p>
            <w:pPr>
              <w:keepNext w:val="0"/>
              <w:keepLines w:val="0"/>
              <w:pageBreakBefore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val="en-US" w:eastAsia="zh-CN"/>
              </w:rPr>
              <w:t>定期交由有资质单位处置。提供有与河北福仁环保科技有限公司签订的《危废处理协议》，签订时间：2022年4月15日-2023年4月14日。现场查看危废物无库存危废，企业介绍2022年无危废转移五联单。</w:t>
            </w:r>
          </w:p>
          <w:p>
            <w:pPr>
              <w:keepNext w:val="0"/>
              <w:keepLines w:val="0"/>
              <w:pageBreakBefore w:val="0"/>
              <w:kinsoku/>
              <w:wordWrap/>
              <w:overflowPunct/>
              <w:topLinePunct w:val="0"/>
              <w:autoSpaceDE/>
              <w:autoSpaceDN/>
              <w:bidi w:val="0"/>
              <w:adjustRightInd/>
              <w:snapToGrid/>
              <w:spacing w:before="157" w:beforeLines="50"/>
              <w:textAlignment w:val="auto"/>
              <w:rPr>
                <w:rFonts w:hint="eastAsia"/>
                <w:lang w:eastAsia="zh-CN"/>
              </w:rPr>
            </w:pPr>
            <w:r>
              <w:rPr>
                <w:rFonts w:hint="eastAsia"/>
                <w:lang w:val="en-US" w:eastAsia="zh-CN"/>
              </w:rPr>
              <w:t>提供《突发环境事件应急预案备案表》：本单位于 2020年9月8 日签署发布了突发环境事件应急预案，备案条件具备，备案文件齐全。</w:t>
            </w:r>
          </w:p>
          <w:p>
            <w:pPr>
              <w:keepNext w:val="0"/>
              <w:keepLines w:val="0"/>
              <w:pageBreakBefore w:val="0"/>
              <w:kinsoku/>
              <w:wordWrap/>
              <w:overflowPunct/>
              <w:topLinePunct w:val="0"/>
              <w:autoSpaceDE/>
              <w:autoSpaceDN/>
              <w:bidi w:val="0"/>
              <w:adjustRightInd/>
              <w:snapToGrid/>
              <w:spacing w:before="157" w:beforeLines="50"/>
              <w:textAlignment w:val="auto"/>
              <w:rPr>
                <w:rFonts w:hint="eastAsia"/>
              </w:rPr>
            </w:pPr>
            <w:r>
              <w:rPr>
                <w:rFonts w:hint="eastAsia"/>
              </w:rPr>
              <w:t>触电控制：办公区均使用安全电器，灯具离地距离符合要求，</w:t>
            </w:r>
            <w:r>
              <w:rPr>
                <w:rFonts w:hint="eastAsia"/>
                <w:lang w:val="en-US" w:eastAsia="zh-CN"/>
              </w:rPr>
              <w:t>设备</w:t>
            </w:r>
            <w:r>
              <w:rPr>
                <w:rFonts w:hint="eastAsia"/>
              </w:rPr>
              <w:t>安装有漏电保护器，经常对员工进行安全用电知识宣贯，确保安全用电，无触电事故发生。</w:t>
            </w:r>
          </w:p>
          <w:p>
            <w:pPr>
              <w:keepNext w:val="0"/>
              <w:keepLines w:val="0"/>
              <w:pageBreakBefore w:val="0"/>
              <w:tabs>
                <w:tab w:val="left" w:pos="1800"/>
              </w:tabs>
              <w:kinsoku/>
              <w:wordWrap/>
              <w:overflowPunct/>
              <w:topLinePunct w:val="0"/>
              <w:autoSpaceDE/>
              <w:autoSpaceDN/>
              <w:bidi w:val="0"/>
              <w:adjustRightInd/>
              <w:snapToGrid/>
              <w:spacing w:before="157" w:beforeLines="50" w:after="0" w:line="240" w:lineRule="auto"/>
              <w:ind w:right="15" w:rightChars="7"/>
              <w:jc w:val="left"/>
              <w:textAlignment w:val="auto"/>
              <w:rPr>
                <w:rFonts w:hint="eastAsia"/>
              </w:rPr>
            </w:pPr>
            <w:r>
              <w:rPr>
                <w:rFonts w:hint="eastAsia"/>
              </w:rPr>
              <w:t>火灾：现场配备了消防栓、灭火器，经查均在有效压力范围内。</w:t>
            </w:r>
          </w:p>
          <w:p>
            <w:pPr>
              <w:pStyle w:val="19"/>
              <w:keepNext w:val="0"/>
              <w:keepLines w:val="0"/>
              <w:pageBreakBefore w:val="0"/>
              <w:kinsoku/>
              <w:wordWrap/>
              <w:overflowPunct/>
              <w:topLinePunct w:val="0"/>
              <w:autoSpaceDE/>
              <w:autoSpaceDN/>
              <w:bidi w:val="0"/>
              <w:adjustRightInd/>
              <w:snapToGrid/>
              <w:spacing w:before="157" w:beforeLines="50"/>
              <w:ind w:left="0" w:leftChars="0" w:firstLine="0" w:firstLineChars="0"/>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交通事故控制：送货车辆进入厂区限速5KM，不高声鸣笛；张贴了限速标识；</w:t>
            </w:r>
          </w:p>
          <w:p>
            <w:pPr>
              <w:keepNext w:val="0"/>
              <w:keepLines w:val="0"/>
              <w:pageBreakBefore w:val="0"/>
              <w:kinsoku/>
              <w:wordWrap/>
              <w:overflowPunct/>
              <w:topLinePunct w:val="0"/>
              <w:autoSpaceDE/>
              <w:autoSpaceDN/>
              <w:bidi w:val="0"/>
              <w:adjustRightInd/>
              <w:snapToGrid/>
              <w:spacing w:before="157" w:beforeLines="50"/>
              <w:textAlignment w:val="auto"/>
              <w:rPr>
                <w:rFonts w:hint="eastAsia"/>
                <w:lang w:eastAsia="zh-CN"/>
              </w:rPr>
            </w:pPr>
            <w:r>
              <w:rPr>
                <w:rFonts w:hint="eastAsia" w:ascii="Times New Roman" w:hAnsi="Times New Roman" w:eastAsia="宋体" w:cs="Times New Roman"/>
                <w:kern w:val="2"/>
                <w:sz w:val="21"/>
                <w:szCs w:val="22"/>
                <w:lang w:val="en-US" w:eastAsia="zh-CN" w:bidi="ar-SA"/>
              </w:rPr>
              <w:t>高空坠物控制：送货车辆装卸货物注意防护，进入厂区进行环境、安全告知，未发生过此类伤</w:t>
            </w:r>
            <w:r>
              <w:rPr>
                <w:rFonts w:hint="eastAsia"/>
                <w:lang w:eastAsia="zh-CN"/>
              </w:rPr>
              <w:t>害；</w:t>
            </w:r>
          </w:p>
          <w:p>
            <w:pPr>
              <w:pStyle w:val="2"/>
              <w:keepNext w:val="0"/>
              <w:keepLines w:val="0"/>
              <w:pageBreakBefore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相关方施加影响：办公室负责对相关方施加环境、安全影响，对供货方、客户、来访人员，以邮件、传真、现场告知进行了相关方告知的发放；</w:t>
            </w:r>
          </w:p>
          <w:p>
            <w:pPr>
              <w:keepNext w:val="0"/>
              <w:keepLines w:val="0"/>
              <w:pageBreakBefore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ascii="Times New Roman" w:hAnsi="Times New Roman" w:eastAsia="宋体" w:cs="Times New Roman"/>
                <w:kern w:val="2"/>
                <w:sz w:val="21"/>
                <w:szCs w:val="22"/>
                <w:lang w:val="en-US" w:eastAsia="zh-CN" w:bidi="ar-SA"/>
              </w:rPr>
              <w:t>提供《厂区安全、卫生检查表》及《安全检查记录表》，每月进行检查，检查内容包括环</w:t>
            </w:r>
            <w:r>
              <w:rPr>
                <w:rFonts w:hint="eastAsia"/>
                <w:lang w:eastAsia="zh-CN"/>
              </w:rPr>
              <w:t>境、用电安全、消防、安全操作等控制状况，查</w:t>
            </w:r>
            <w:r>
              <w:rPr>
                <w:rFonts w:hint="eastAsia"/>
                <w:lang w:val="en-US" w:eastAsia="zh-CN"/>
              </w:rPr>
              <w:t>2022年10月-12月检查记录，均按规定运行，未发现安全隐患；</w:t>
            </w:r>
          </w:p>
          <w:p>
            <w:pPr>
              <w:keepNext w:val="0"/>
              <w:keepLines w:val="0"/>
              <w:pageBreakBefore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lang w:eastAsia="zh-CN"/>
              </w:rPr>
              <w:t>费用投入：</w:t>
            </w:r>
            <w:r>
              <w:rPr>
                <w:rFonts w:hint="eastAsia"/>
              </w:rPr>
              <w:t xml:space="preserve">提供了《2022环境、安全费用投入明细》 </w:t>
            </w:r>
            <w:r>
              <w:rPr>
                <w:rFonts w:hint="eastAsia"/>
                <w:lang w:eastAsia="zh-CN"/>
              </w:rPr>
              <w:t>，</w:t>
            </w:r>
            <w:r>
              <w:rPr>
                <w:rFonts w:hint="eastAsia"/>
                <w:lang w:val="en-US" w:eastAsia="zh-CN"/>
              </w:rPr>
              <w:t>包括</w:t>
            </w:r>
            <w:r>
              <w:rPr>
                <w:rFonts w:hint="eastAsia"/>
              </w:rPr>
              <w:t>消防设施</w:t>
            </w:r>
            <w:r>
              <w:rPr>
                <w:rFonts w:hint="eastAsia"/>
                <w:lang w:eastAsia="zh-CN"/>
              </w:rPr>
              <w:t>、</w:t>
            </w:r>
            <w:r>
              <w:rPr>
                <w:rFonts w:hint="eastAsia"/>
              </w:rPr>
              <w:t>劳保物品</w:t>
            </w:r>
            <w:r>
              <w:rPr>
                <w:rFonts w:hint="eastAsia"/>
                <w:lang w:eastAsia="zh-CN"/>
              </w:rPr>
              <w:t>、</w:t>
            </w:r>
            <w:r>
              <w:rPr>
                <w:rFonts w:hint="eastAsia"/>
              </w:rPr>
              <w:t>紧急救护用品</w:t>
            </w:r>
            <w:r>
              <w:rPr>
                <w:rFonts w:hint="eastAsia"/>
                <w:lang w:eastAsia="zh-CN"/>
              </w:rPr>
              <w:t>、</w:t>
            </w:r>
            <w:r>
              <w:rPr>
                <w:rFonts w:hint="eastAsia"/>
              </w:rPr>
              <w:t>员工保险</w:t>
            </w:r>
            <w:r>
              <w:rPr>
                <w:rFonts w:hint="eastAsia"/>
                <w:lang w:eastAsia="zh-CN"/>
              </w:rPr>
              <w:t>、体检</w:t>
            </w:r>
            <w:r>
              <w:rPr>
                <w:rFonts w:hint="eastAsia"/>
                <w:lang w:val="en-US" w:eastAsia="zh-CN"/>
              </w:rPr>
              <w:t>等进行了资金支持；</w:t>
            </w:r>
          </w:p>
          <w:p>
            <w:pPr>
              <w:pStyle w:val="2"/>
              <w:keepNext w:val="0"/>
              <w:keepLines w:val="0"/>
              <w:pageBreakBefore w:val="0"/>
              <w:kinsoku/>
              <w:wordWrap/>
              <w:overflowPunct/>
              <w:topLinePunct w:val="0"/>
              <w:autoSpaceDE/>
              <w:autoSpaceDN/>
              <w:bidi w:val="0"/>
              <w:adjustRightInd/>
              <w:snapToGrid/>
              <w:spacing w:before="157" w:beforeLines="50"/>
              <w:textAlignment w:val="auto"/>
              <w:rPr>
                <w:rFonts w:hint="default"/>
                <w:lang w:val="en-US" w:eastAsia="zh-CN"/>
              </w:rPr>
            </w:pPr>
            <w:r>
              <w:rPr>
                <w:rFonts w:hint="eastAsia" w:ascii="宋体" w:hAnsi="宋体" w:cs="宋体"/>
                <w:sz w:val="21"/>
                <w:szCs w:val="21"/>
                <w:lang w:val="en-US" w:eastAsia="zh-CN"/>
              </w:rPr>
              <w:t>运行控制基本符合要求。</w:t>
            </w:r>
          </w:p>
        </w:tc>
        <w:tc>
          <w:tcPr>
            <w:tcW w:w="895" w:type="dxa"/>
          </w:tcPr>
          <w:p>
            <w:pPr>
              <w:rPr>
                <w:rFonts w:hint="eastAsia" w:eastAsia="宋体"/>
                <w:lang w:val="en-US" w:eastAsia="zh-CN"/>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160" w:type="dxa"/>
            <w:vAlign w:val="center"/>
          </w:tcPr>
          <w:p>
            <w:pPr>
              <w:rPr>
                <w:rFonts w:asciiTheme="minorEastAsia" w:hAnsiTheme="minorEastAsia" w:eastAsiaTheme="minorEastAsia" w:cstheme="minorEastAsia"/>
              </w:rPr>
            </w:pPr>
            <w:r>
              <w:rPr>
                <w:rFonts w:hint="eastAsia" w:asciiTheme="minorEastAsia" w:hAnsiTheme="minorEastAsia" w:eastAsiaTheme="minorEastAsia" w:cstheme="minorEastAsia"/>
                <w:szCs w:val="21"/>
              </w:rPr>
              <w:t>应急准备和响应</w:t>
            </w:r>
          </w:p>
        </w:tc>
        <w:tc>
          <w:tcPr>
            <w:tcW w:w="1058" w:type="dxa"/>
            <w:vAlign w:val="center"/>
          </w:tcPr>
          <w:p>
            <w:pPr>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E8.2</w:t>
            </w:r>
          </w:p>
          <w:p>
            <w:pPr>
              <w:rPr>
                <w:rFonts w:asciiTheme="minorEastAsia" w:hAnsiTheme="minorEastAsia" w:eastAsiaTheme="minorEastAsia" w:cstheme="minorEastAsia"/>
              </w:rPr>
            </w:pPr>
          </w:p>
        </w:tc>
        <w:tc>
          <w:tcPr>
            <w:tcW w:w="10596" w:type="dxa"/>
            <w:vAlign w:val="top"/>
          </w:tcPr>
          <w:p>
            <w:pPr>
              <w:keepNext w:val="0"/>
              <w:keepLines w:val="0"/>
              <w:pageBreakBefore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lang w:val="en-US" w:eastAsia="zh-CN"/>
              </w:rPr>
            </w:pPr>
            <w:r>
              <w:rPr>
                <w:rFonts w:hint="eastAsia" w:cs="Times New Roman"/>
                <w:lang w:val="en-US" w:eastAsia="zh-CN"/>
              </w:rPr>
              <w:t>执行公司</w:t>
            </w:r>
            <w:r>
              <w:rPr>
                <w:rFonts w:hint="eastAsia" w:ascii="Times New Roman" w:hAnsi="Times New Roman" w:eastAsia="宋体" w:cs="Times New Roman"/>
                <w:lang w:val="en-US" w:eastAsia="zh-CN"/>
              </w:rPr>
              <w:t>《应急准备和响应控制程序》</w:t>
            </w:r>
            <w:r>
              <w:rPr>
                <w:rFonts w:hint="eastAsia" w:cs="Times New Roman"/>
                <w:lang w:val="en-US" w:eastAsia="zh-CN"/>
              </w:rPr>
              <w:t>。</w:t>
            </w:r>
          </w:p>
          <w:p>
            <w:pPr>
              <w:keepNext w:val="0"/>
              <w:keepLines w:val="0"/>
              <w:pageBreakBefore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提供了企业事业单位突发环境事件应急预案备案表，《沧州市亿达渤润石化有限公司突发环境事件应急预案》进行了备案，备案日期：2020年9月18日。</w:t>
            </w:r>
          </w:p>
          <w:p>
            <w:pPr>
              <w:keepNext w:val="0"/>
              <w:keepLines w:val="0"/>
              <w:pageBreakBefore w:val="0"/>
              <w:kinsoku/>
              <w:wordWrap/>
              <w:overflowPunct/>
              <w:topLinePunct w:val="0"/>
              <w:autoSpaceDE/>
              <w:autoSpaceDN/>
              <w:bidi w:val="0"/>
              <w:adjustRightInd/>
              <w:snapToGrid/>
              <w:spacing w:before="157" w:beforeLines="50"/>
              <w:textAlignment w:val="auto"/>
              <w:rPr>
                <w:rFonts w:hint="default" w:cs="Times New Roman"/>
                <w:lang w:val="en-US" w:eastAsia="zh-CN"/>
              </w:rPr>
            </w:pPr>
            <w:r>
              <w:rPr>
                <w:rFonts w:hint="eastAsia" w:cs="Times New Roman"/>
                <w:lang w:val="en-US" w:eastAsia="zh-CN"/>
              </w:rPr>
              <w:t>提供有《潜在的事故和紧急情况一览表》，潜在事故：火灾事故/化学品泄漏事故；预防措施：运行控制、管理方案；《应急准备和响应控制程序》，《应急预案》，对易燃易爆物品或场所加强管理，配备消防设施、水源。/运行控制、管理方案；《应急准备和响应控制程序》，《应急预案》，对设备设施、临时用电加强管理，巡视检查；定时对对压力容器进行检查，定时对机泵进行保养，按时巡检，及时消除跑冒滴漏现象，定期开展应急演练</w:t>
            </w:r>
          </w:p>
          <w:p>
            <w:pPr>
              <w:keepNext w:val="0"/>
              <w:keepLines w:val="0"/>
              <w:pageBreakBefore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生产过程中加强用电安全，防止触电事故和火灾事故的发生，安装了漏电保护器。</w:t>
            </w:r>
          </w:p>
          <w:p>
            <w:pPr>
              <w:keepNext w:val="0"/>
              <w:keepLines w:val="0"/>
              <w:pageBreakBefore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 xml:space="preserve">现场查看车间配置的灭火器在有效压力范围内。  </w:t>
            </w:r>
          </w:p>
          <w:p>
            <w:pPr>
              <w:keepNext w:val="0"/>
              <w:keepLines w:val="0"/>
              <w:pageBreakBefore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生产场所有“禁止吸烟”，“小心触电” 等环保、安全警示标识。</w:t>
            </w:r>
          </w:p>
          <w:p>
            <w:pPr>
              <w:keepNext w:val="0"/>
              <w:keepLines w:val="0"/>
              <w:pageBreakBefore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配有急救药箱，箱内有创可贴、消毒酒精、碘伏、棉棒等。</w:t>
            </w:r>
          </w:p>
          <w:p>
            <w:pPr>
              <w:pStyle w:val="2"/>
              <w:keepNext w:val="0"/>
              <w:keepLines w:val="0"/>
              <w:pageBreakBefore w:val="0"/>
              <w:kinsoku/>
              <w:wordWrap/>
              <w:overflowPunct/>
              <w:topLinePunct w:val="0"/>
              <w:autoSpaceDE/>
              <w:autoSpaceDN/>
              <w:bidi w:val="0"/>
              <w:adjustRightInd/>
              <w:snapToGrid/>
              <w:spacing w:before="157" w:beforeLines="50"/>
              <w:textAlignment w:val="auto"/>
              <w:rPr>
                <w:rFonts w:hint="eastAsia"/>
                <w:lang w:val="en-US" w:eastAsia="zh-CN"/>
              </w:rPr>
            </w:pPr>
            <w:r>
              <w:rPr>
                <w:rFonts w:hint="eastAsia" w:ascii="宋体" w:hAnsi="宋体" w:cs="宋体"/>
                <w:sz w:val="21"/>
                <w:szCs w:val="21"/>
                <w:lang w:val="en-US" w:eastAsia="zh-CN"/>
              </w:rPr>
              <w:t>定期</w:t>
            </w:r>
            <w:r>
              <w:rPr>
                <w:rFonts w:hint="eastAsia" w:ascii="宋体" w:hAnsi="宋体" w:eastAsia="宋体" w:cs="宋体"/>
                <w:sz w:val="21"/>
                <w:szCs w:val="21"/>
                <w:lang w:val="en-US" w:eastAsia="zh-CN"/>
              </w:rPr>
              <w:t>进行消防常识和能力的培训、潜在的火灾爆炸、触电、机械伤害、</w:t>
            </w:r>
            <w:r>
              <w:rPr>
                <w:rFonts w:hint="eastAsia" w:ascii="宋体" w:hAnsi="宋体" w:cs="宋体"/>
                <w:sz w:val="21"/>
                <w:szCs w:val="21"/>
                <w:lang w:val="en-US" w:eastAsia="zh-CN"/>
              </w:rPr>
              <w:t>化学品泄漏</w:t>
            </w:r>
            <w:r>
              <w:rPr>
                <w:rFonts w:hint="eastAsia" w:ascii="宋体" w:hAnsi="宋体" w:eastAsia="宋体" w:cs="宋体"/>
                <w:sz w:val="21"/>
                <w:szCs w:val="21"/>
                <w:lang w:val="en-US" w:eastAsia="zh-CN"/>
              </w:rPr>
              <w:t>、急救知识等的常识和能力的培训</w:t>
            </w:r>
            <w:r>
              <w:rPr>
                <w:rFonts w:hint="eastAsia" w:ascii="宋体" w:hAnsi="宋体" w:cs="宋体"/>
                <w:sz w:val="21"/>
                <w:szCs w:val="21"/>
                <w:lang w:val="en-US" w:eastAsia="zh-CN"/>
              </w:rPr>
              <w:t>；</w:t>
            </w:r>
          </w:p>
          <w:p>
            <w:pPr>
              <w:keepNext w:val="0"/>
              <w:keepLines w:val="0"/>
              <w:pageBreakBefore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lang w:val="en-US" w:eastAsia="zh-CN"/>
              </w:rPr>
            </w:pPr>
            <w:r>
              <w:rPr>
                <w:rFonts w:hint="eastAsia" w:cs="Times New Roman"/>
                <w:lang w:val="en-US" w:eastAsia="zh-CN"/>
              </w:rPr>
              <w:t>定期开展应急演练，提供有演练记录</w:t>
            </w:r>
          </w:p>
          <w:p>
            <w:pPr>
              <w:keepNext w:val="0"/>
              <w:keepLines w:val="0"/>
              <w:pageBreakBefore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——抽查2022年10月27日办公室组织开展了化学品泄漏事故拥挤救援预案演练记录，组织人员：王欢，演练形式：模拟演练，演练地点：厂区；总指挥：王西海，参加人员：王欢、张艳平、张杰等；</w:t>
            </w:r>
          </w:p>
          <w:p>
            <w:pPr>
              <w:keepNext w:val="0"/>
              <w:keepLines w:val="0"/>
              <w:pageBreakBefore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查看演练内容，记录了演练详细过程，有应急处置的详细记录；</w:t>
            </w:r>
          </w:p>
          <w:p>
            <w:pPr>
              <w:keepNext w:val="0"/>
              <w:keepLines w:val="0"/>
              <w:pageBreakBefore w:val="0"/>
              <w:kinsoku/>
              <w:wordWrap/>
              <w:overflowPunct/>
              <w:topLinePunct w:val="0"/>
              <w:autoSpaceDE/>
              <w:autoSpaceDN/>
              <w:bidi w:val="0"/>
              <w:adjustRightInd/>
              <w:snapToGrid/>
              <w:spacing w:before="157" w:beforeLines="50"/>
              <w:textAlignment w:val="auto"/>
              <w:rPr>
                <w:rFonts w:hint="default" w:ascii="Times New Roman" w:hAnsi="Times New Roman" w:eastAsia="宋体" w:cs="Times New Roman"/>
                <w:lang w:val="en-US" w:eastAsia="zh-CN"/>
              </w:rPr>
            </w:pPr>
            <w:r>
              <w:rPr>
                <w:rFonts w:hint="eastAsia" w:ascii="Times New Roman" w:hAnsi="Times New Roman" w:eastAsia="宋体" w:cs="Times New Roman"/>
                <w:lang w:val="en-US" w:eastAsia="zh-CN"/>
              </w:rPr>
              <w:t>演练结束后，对演练效果进行了评价，通过本次演练，员工对化学品有了深刻认识，避免了润滑油等化学品日常使用中的不当行为，减弱了化学品泄漏隐患，员工之间的配合度有待提高。</w:t>
            </w:r>
          </w:p>
          <w:p>
            <w:pPr>
              <w:keepNext w:val="0"/>
              <w:keepLines w:val="0"/>
              <w:pageBreakBefore w:val="0"/>
              <w:kinsoku/>
              <w:wordWrap/>
              <w:overflowPunct/>
              <w:topLinePunct w:val="0"/>
              <w:autoSpaceDE/>
              <w:autoSpaceDN/>
              <w:bidi w:val="0"/>
              <w:adjustRightInd/>
              <w:snapToGrid/>
              <w:spacing w:before="157" w:beforeLines="50"/>
              <w:textAlignment w:val="auto"/>
              <w:rPr>
                <w:rFonts w:hint="eastAsia" w:ascii="Times New Roman" w:hAnsi="Times New Roman" w:eastAsia="宋体" w:cs="Times New Roman"/>
                <w:lang w:val="en-US" w:eastAsia="zh-CN"/>
              </w:rPr>
            </w:pPr>
            <w:r>
              <w:rPr>
                <w:rFonts w:hint="eastAsia" w:cs="Times New Roman"/>
                <w:lang w:val="en-US" w:eastAsia="zh-CN"/>
              </w:rPr>
              <w:t>——抽查2022年9月21日开展了</w:t>
            </w:r>
            <w:r>
              <w:rPr>
                <w:rFonts w:hint="eastAsia" w:ascii="Times New Roman" w:hAnsi="Times New Roman" w:eastAsia="宋体" w:cs="Times New Roman"/>
                <w:lang w:val="en-US" w:eastAsia="zh-CN"/>
              </w:rPr>
              <w:t>火灾</w:t>
            </w:r>
            <w:r>
              <w:rPr>
                <w:rFonts w:hint="eastAsia" w:cs="Times New Roman"/>
                <w:lang w:val="en-US" w:eastAsia="zh-CN"/>
              </w:rPr>
              <w:t>应急</w:t>
            </w:r>
            <w:r>
              <w:rPr>
                <w:rFonts w:hint="eastAsia" w:ascii="Times New Roman" w:hAnsi="Times New Roman" w:eastAsia="宋体" w:cs="Times New Roman"/>
                <w:lang w:val="en-US" w:eastAsia="zh-CN"/>
              </w:rPr>
              <w:t>预案演练，组织人员：王欢，演练形式：模拟演练，演练地点：厂区；总指挥：王西海，参加人员：全体；查看演练记录有应急处置的详细记录；</w:t>
            </w:r>
          </w:p>
          <w:p>
            <w:pPr>
              <w:pStyle w:val="2"/>
              <w:keepNext w:val="0"/>
              <w:keepLines w:val="0"/>
              <w:pageBreakBefore w:val="0"/>
              <w:kinsoku/>
              <w:wordWrap/>
              <w:overflowPunct/>
              <w:topLinePunct w:val="0"/>
              <w:autoSpaceDE/>
              <w:autoSpaceDN/>
              <w:bidi w:val="0"/>
              <w:adjustRightInd/>
              <w:snapToGrid/>
              <w:spacing w:before="157" w:beforeLines="50"/>
              <w:textAlignment w:val="auto"/>
              <w:rPr>
                <w:rFonts w:hint="default"/>
                <w:lang w:val="en-US" w:eastAsia="zh-CN"/>
              </w:rPr>
            </w:pPr>
            <w:r>
              <w:rPr>
                <w:rFonts w:hint="eastAsia" w:cs="Times New Roman"/>
                <w:lang w:val="en-US" w:eastAsia="zh-CN"/>
              </w:rPr>
              <w:t>演练结束后对演练效果和预案有效性进行了评价。</w:t>
            </w:r>
          </w:p>
          <w:p>
            <w:pPr>
              <w:keepNext w:val="0"/>
              <w:keepLines w:val="0"/>
              <w:pageBreakBefore w:val="0"/>
              <w:kinsoku/>
              <w:wordWrap/>
              <w:overflowPunct/>
              <w:topLinePunct w:val="0"/>
              <w:autoSpaceDE/>
              <w:autoSpaceDN/>
              <w:bidi w:val="0"/>
              <w:adjustRightInd/>
              <w:snapToGrid/>
              <w:spacing w:before="157" w:beforeLines="50"/>
              <w:textAlignment w:val="auto"/>
              <w:rPr>
                <w:rFonts w:ascii="宋体" w:hAnsi="宋体" w:cs="宋体"/>
                <w:bCs/>
                <w:szCs w:val="21"/>
              </w:rPr>
            </w:pPr>
            <w:r>
              <w:rPr>
                <w:rFonts w:hint="eastAsia" w:ascii="Times New Roman" w:hAnsi="Times New Roman" w:eastAsia="宋体" w:cs="Times New Roman"/>
                <w:lang w:val="en-US" w:eastAsia="zh-CN"/>
              </w:rPr>
              <w:t>自体系运行以来未出现应急事故情况。</w:t>
            </w:r>
          </w:p>
        </w:tc>
        <w:tc>
          <w:tcPr>
            <w:tcW w:w="895" w:type="dxa"/>
          </w:tcPr>
          <w:p>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4" w:hRule="atLeast"/>
          <w:jc w:val="center"/>
        </w:trPr>
        <w:tc>
          <w:tcPr>
            <w:tcW w:w="2160" w:type="dxa"/>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绩效测量和监视</w:t>
            </w:r>
          </w:p>
          <w:p>
            <w:pPr>
              <w:rPr>
                <w:rFonts w:hint="eastAsia" w:ascii="宋体" w:hAnsi="宋体" w:eastAsia="宋体" w:cs="宋体"/>
                <w:kern w:val="2"/>
                <w:sz w:val="21"/>
                <w:szCs w:val="21"/>
                <w:lang w:val="en-US" w:eastAsia="zh-CN" w:bidi="ar-SA"/>
              </w:rPr>
            </w:pPr>
            <w:r>
              <w:rPr>
                <w:rFonts w:hint="eastAsia"/>
                <w:lang w:val="en-US" w:eastAsia="zh-CN"/>
              </w:rPr>
              <w:t>分析与评价</w:t>
            </w:r>
          </w:p>
        </w:tc>
        <w:tc>
          <w:tcPr>
            <w:tcW w:w="1058" w:type="dxa"/>
            <w:vAlign w:val="center"/>
          </w:tcPr>
          <w:p>
            <w:pPr>
              <w:rPr>
                <w:rFonts w:hint="eastAsia" w:asciiTheme="minorEastAsia" w:hAnsiTheme="minorEastAsia" w:eastAsiaTheme="minorEastAsia" w:cstheme="minorEastAsia"/>
                <w:szCs w:val="21"/>
              </w:rPr>
            </w:pPr>
            <w:r>
              <w:rPr>
                <w:rFonts w:hint="eastAsia" w:asciiTheme="minorEastAsia" w:hAnsiTheme="minorEastAsia" w:eastAsiaTheme="minorEastAsia" w:cstheme="minorEastAsia"/>
                <w:szCs w:val="21"/>
              </w:rPr>
              <w:t>E9.1.1</w:t>
            </w:r>
          </w:p>
          <w:p>
            <w:pPr>
              <w:rPr>
                <w:rFonts w:ascii="Times New Roman" w:hAnsi="Times New Roman" w:eastAsia="宋体" w:cs="Times New Roman"/>
                <w:kern w:val="2"/>
                <w:sz w:val="21"/>
                <w:lang w:val="en-US" w:eastAsia="zh-CN" w:bidi="ar-SA"/>
              </w:rPr>
            </w:pPr>
          </w:p>
        </w:tc>
        <w:tc>
          <w:tcPr>
            <w:tcW w:w="10596" w:type="dxa"/>
            <w:vAlign w:val="center"/>
          </w:tcPr>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lang w:val="en-US" w:eastAsia="zh-CN"/>
              </w:rPr>
              <w:t>执行公司</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lang w:val="zh-CN" w:eastAsia="zh-CN"/>
              </w:rPr>
              <w:t>监测与测量控制程序</w:t>
            </w:r>
            <w:r>
              <w:rPr>
                <w:rFonts w:hint="eastAsia" w:asciiTheme="minorEastAsia" w:hAnsiTheme="minorEastAsia" w:eastAsiaTheme="minorEastAsia" w:cstheme="minorEastAsia"/>
                <w:szCs w:val="21"/>
                <w:lang w:eastAsia="zh-CN"/>
              </w:rPr>
              <w:t>》</w:t>
            </w:r>
            <w:r>
              <w:rPr>
                <w:rFonts w:hint="eastAsia" w:asciiTheme="minorEastAsia" w:hAnsiTheme="minorEastAsia" w:eastAsiaTheme="minorEastAsia" w:cstheme="minorEastAsia"/>
                <w:szCs w:val="21"/>
              </w:rPr>
              <w:t>，对</w:t>
            </w:r>
            <w:r>
              <w:rPr>
                <w:rFonts w:hint="eastAsia"/>
              </w:rPr>
              <w:t>产品</w:t>
            </w:r>
            <w:r>
              <w:rPr>
                <w:rFonts w:hint="eastAsia" w:asciiTheme="minorEastAsia" w:hAnsiTheme="minorEastAsia" w:eastAsiaTheme="minorEastAsia" w:cstheme="minorEastAsia"/>
                <w:szCs w:val="21"/>
              </w:rPr>
              <w:t>的质量特性进行监视和测量，以验证其符合要求的程度，确保服务符合要求。</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asciiTheme="minorEastAsia" w:hAnsiTheme="minorEastAsia" w:eastAsiaTheme="minorEastAsia" w:cstheme="minorEastAsia"/>
                <w:szCs w:val="21"/>
              </w:rPr>
            </w:pPr>
            <w:r>
              <w:rPr>
                <w:rFonts w:hint="eastAsia" w:asciiTheme="minorEastAsia" w:hAnsiTheme="minorEastAsia" w:eastAsiaTheme="minorEastAsia" w:cstheme="minorEastAsia"/>
                <w:szCs w:val="21"/>
              </w:rPr>
              <w:t>公司制定《</w:t>
            </w:r>
            <w:r>
              <w:rPr>
                <w:rFonts w:hint="eastAsia" w:asciiTheme="minorEastAsia" w:hAnsiTheme="minorEastAsia" w:eastAsiaTheme="minorEastAsia" w:cstheme="minorEastAsia"/>
                <w:szCs w:val="21"/>
                <w:lang w:val="zh-CN"/>
              </w:rPr>
              <w:t>内审控制程序</w:t>
            </w:r>
            <w:r>
              <w:rPr>
                <w:rFonts w:hint="eastAsia" w:asciiTheme="minorEastAsia" w:hAnsiTheme="minorEastAsia" w:eastAsiaTheme="minorEastAsia" w:cstheme="minorEastAsia"/>
                <w:szCs w:val="21"/>
              </w:rPr>
              <w:t>》 、《</w:t>
            </w:r>
            <w:r>
              <w:rPr>
                <w:rFonts w:hint="eastAsia" w:asciiTheme="minorEastAsia" w:hAnsiTheme="minorEastAsia" w:eastAsiaTheme="minorEastAsia" w:cstheme="minorEastAsia"/>
                <w:szCs w:val="21"/>
                <w:lang w:val="zh-CN"/>
              </w:rPr>
              <w:t>管理评审控制程序</w:t>
            </w:r>
            <w:r>
              <w:rPr>
                <w:rFonts w:hint="eastAsia" w:asciiTheme="minorEastAsia" w:hAnsiTheme="minorEastAsia" w:eastAsiaTheme="minorEastAsia" w:cstheme="minorEastAsia"/>
                <w:szCs w:val="21"/>
              </w:rPr>
              <w:t>》为保证公司质量管理体系的有效运行，通过对管理绩效的监视与测量，确保体系运行的有效性。</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pPr>
            <w:r>
              <w:rPr>
                <w:rFonts w:hint="eastAsia"/>
                <w:lang w:val="en-US" w:eastAsia="zh-CN"/>
              </w:rPr>
              <w:t>环境目标质保和管理方案</w:t>
            </w:r>
            <w:r>
              <w:rPr>
                <w:rFonts w:hint="eastAsia"/>
              </w:rPr>
              <w:t>均完成。</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Theme="minorEastAsia" w:hAnsiTheme="minorEastAsia" w:eastAsiaTheme="minorEastAsia" w:cstheme="minorEastAsia"/>
                <w:szCs w:val="21"/>
                <w:lang w:eastAsia="zh-CN"/>
              </w:rPr>
            </w:pPr>
            <w:r>
              <w:rPr>
                <w:rFonts w:hint="eastAsia" w:asciiTheme="minorEastAsia" w:hAnsiTheme="minorEastAsia" w:eastAsiaTheme="minorEastAsia" w:cstheme="minorEastAsia"/>
                <w:szCs w:val="21"/>
              </w:rPr>
              <w:t>查阅</w:t>
            </w:r>
            <w:r>
              <w:rPr>
                <w:rFonts w:hint="eastAsia" w:ascii="宋体" w:hAnsi="宋体" w:cs="宋体"/>
                <w:szCs w:val="21"/>
              </w:rPr>
              <w:t>环境绩效监测评价报告</w:t>
            </w:r>
            <w:r>
              <w:rPr>
                <w:rFonts w:hint="eastAsia" w:asciiTheme="minorEastAsia" w:hAnsiTheme="minorEastAsia" w:eastAsiaTheme="minorEastAsia" w:cstheme="minorEastAsia"/>
                <w:szCs w:val="21"/>
              </w:rPr>
              <w:t>，评价结论为</w:t>
            </w:r>
            <w:r>
              <w:rPr>
                <w:rFonts w:hint="eastAsia" w:ascii="宋体" w:hAnsi="宋体" w:cs="宋体"/>
                <w:szCs w:val="21"/>
              </w:rPr>
              <w:t>通过贯彻</w:t>
            </w:r>
            <w:r>
              <w:rPr>
                <w:rFonts w:ascii="宋体" w:hAnsi="宋体" w:cs="宋体"/>
                <w:szCs w:val="21"/>
              </w:rPr>
              <w:t>GB/T24001-2016idtISO14001:2015</w:t>
            </w:r>
            <w:r>
              <w:rPr>
                <w:rFonts w:hint="eastAsia" w:ascii="宋体" w:hAnsi="宋体" w:cs="宋体"/>
                <w:szCs w:val="21"/>
              </w:rPr>
              <w:t>标准，公司员工的环境保护意识明显加强，公司的环境管理水平有了较大的提高，公司的办公区域及所管辖的公司场地范围内的环境得到了有效的保护，在公司工地树立了良好的社会形象。</w:t>
            </w:r>
            <w:r>
              <w:rPr>
                <w:rFonts w:hint="eastAsia" w:asciiTheme="minorEastAsia" w:hAnsiTheme="minorEastAsia" w:eastAsiaTheme="minorEastAsia" w:cstheme="minorEastAsia"/>
                <w:szCs w:val="21"/>
              </w:rPr>
              <w:t>评价人为公司领导和各部门负责人</w:t>
            </w:r>
            <w:r>
              <w:rPr>
                <w:rFonts w:hint="eastAsia" w:asciiTheme="minorEastAsia" w:hAnsiTheme="minorEastAsia" w:eastAsiaTheme="minorEastAsia" w:cstheme="minorEastAsia"/>
                <w:szCs w:val="21"/>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宋体" w:hAnsi="宋体" w:eastAsia="宋体" w:cs="宋体"/>
                <w:szCs w:val="21"/>
                <w:lang w:val="en-US" w:eastAsia="zh-CN"/>
              </w:rPr>
            </w:pPr>
            <w:r>
              <w:rPr>
                <w:rFonts w:hint="eastAsia" w:ascii="宋体" w:hAnsi="宋体" w:cs="宋体"/>
                <w:szCs w:val="21"/>
                <w:lang w:val="en-US" w:eastAsia="zh-CN"/>
              </w:rPr>
              <w:t>查</w:t>
            </w:r>
            <w:r>
              <w:rPr>
                <w:rFonts w:hint="eastAsia" w:ascii="宋体" w:hAnsi="宋体" w:eastAsia="宋体" w:cs="宋体"/>
                <w:szCs w:val="21"/>
                <w:lang w:val="en-US" w:eastAsia="zh-CN"/>
              </w:rPr>
              <w:t>每季度对消防器材进行一次全面检查--提供(202</w:t>
            </w:r>
            <w:r>
              <w:rPr>
                <w:rFonts w:hint="eastAsia" w:ascii="宋体" w:hAnsi="宋体" w:cs="宋体"/>
                <w:szCs w:val="21"/>
                <w:lang w:val="en-US" w:eastAsia="zh-CN"/>
              </w:rPr>
              <w:t>2</w:t>
            </w:r>
            <w:r>
              <w:rPr>
                <w:rFonts w:hint="eastAsia" w:ascii="宋体" w:hAnsi="宋体" w:eastAsia="宋体" w:cs="宋体"/>
                <w:szCs w:val="21"/>
                <w:lang w:val="en-US" w:eastAsia="zh-CN"/>
              </w:rPr>
              <w:t>年)消防安全检查记录表，检查内容有：消防器材的配置是否合理，消防栓、灭火器是否符合要求。安全通道、标识是否适宜。现场易燃物品是否设有灭火器，焊接、安全用电等火灾隐患控制是否有效。消防应急准备和响应措施是否有效。</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lang w:val="en-US" w:eastAsia="zh-CN"/>
              </w:rPr>
            </w:pPr>
            <w:r>
              <w:rPr>
                <w:rFonts w:hint="eastAsia"/>
                <w:lang w:val="en-US" w:eastAsia="zh-CN"/>
              </w:rPr>
              <w:t>查每季度对管理体系运行情况进行一次全面检查，提供《</w:t>
            </w:r>
            <w:r>
              <w:rPr>
                <w:rFonts w:hint="default"/>
                <w:lang w:val="en-US" w:eastAsia="zh-CN"/>
              </w:rPr>
              <w:t>管理体系运行检查和监督记录（202</w:t>
            </w:r>
            <w:r>
              <w:rPr>
                <w:rFonts w:hint="eastAsia"/>
                <w:lang w:val="en-US" w:eastAsia="zh-CN"/>
              </w:rPr>
              <w:t>2</w:t>
            </w:r>
            <w:r>
              <w:rPr>
                <w:rFonts w:hint="default"/>
                <w:lang w:val="en-US" w:eastAsia="zh-CN"/>
              </w:rPr>
              <w:t>年第</w:t>
            </w:r>
            <w:r>
              <w:rPr>
                <w:rFonts w:hint="eastAsia"/>
                <w:lang w:val="en-US" w:eastAsia="zh-CN"/>
              </w:rPr>
              <w:t>一到</w:t>
            </w:r>
            <w:r>
              <w:rPr>
                <w:rFonts w:hint="default"/>
                <w:lang w:val="en-US" w:eastAsia="zh-CN"/>
              </w:rPr>
              <w:t>四季度）</w:t>
            </w:r>
            <w:r>
              <w:rPr>
                <w:rFonts w:hint="eastAsia"/>
                <w:lang w:val="en-US" w:eastAsia="zh-CN"/>
              </w:rPr>
              <w:t>》</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宋体" w:hAnsi="宋体" w:eastAsia="宋体" w:cs="宋体"/>
                <w:szCs w:val="21"/>
                <w:lang w:val="en-US" w:eastAsia="zh-CN"/>
              </w:rPr>
            </w:pPr>
            <w:r>
              <w:rPr>
                <w:rFonts w:hint="eastAsia"/>
                <w:lang w:val="en-US" w:eastAsia="zh-CN"/>
              </w:rPr>
              <w:t>检查结果：固体废弃物，每月分类存</w:t>
            </w:r>
            <w:r>
              <w:rPr>
                <w:rFonts w:hint="eastAsia" w:ascii="宋体" w:hAnsi="宋体" w:eastAsia="宋体" w:cs="宋体"/>
                <w:szCs w:val="21"/>
                <w:lang w:val="en-US" w:eastAsia="zh-CN"/>
              </w:rPr>
              <w:t>放、统一集合规处理；纸张重复再利用；生活垃圾放到市政指定垃圾桶。办公安全用电、用火，不存在火灾隐患。</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default" w:ascii="宋体" w:hAnsi="宋体" w:eastAsia="宋体" w:cs="宋体"/>
                <w:szCs w:val="21"/>
                <w:lang w:val="en-US" w:eastAsia="zh-CN"/>
              </w:rPr>
            </w:pPr>
            <w:r>
              <w:rPr>
                <w:rFonts w:hint="eastAsia" w:ascii="宋体" w:hAnsi="宋体" w:eastAsia="宋体" w:cs="宋体"/>
                <w:szCs w:val="21"/>
                <w:lang w:val="en-US" w:eastAsia="zh-CN"/>
              </w:rPr>
              <w:t>查近期排放检测，2022年11月废水、噪声监测报告（报告编号：盈通（检）字HBYT15WT202209-45）。符合排放的要求。</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危废暂存危废间，并交由有资质单位处置。</w:t>
            </w:r>
            <w:r>
              <w:rPr>
                <w:rFonts w:hint="eastAsia"/>
                <w:lang w:val="en-US" w:eastAsia="zh-CN"/>
              </w:rPr>
              <w:t>提供有与河北福仁环保科技有限公司签订的《危废处理协议》，签订时间：2022年4月15日-2023年4月14日。现场查看危废物无库存危废，企业介绍2022年无危废转移五联单。</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宋体" w:hAnsi="宋体" w:eastAsia="宋体" w:cs="宋体"/>
                <w:szCs w:val="21"/>
                <w:lang w:val="en-US" w:eastAsia="zh-CN"/>
              </w:rPr>
            </w:pPr>
            <w:r>
              <w:rPr>
                <w:rFonts w:hint="eastAsia" w:ascii="宋体" w:hAnsi="宋体" w:eastAsia="宋体" w:cs="宋体"/>
                <w:szCs w:val="21"/>
                <w:lang w:val="en-US" w:eastAsia="zh-CN"/>
              </w:rPr>
              <w:t>目前未发现公司出现违规现象。无被动性绩效的监视和测量。</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宋体" w:hAnsi="宋体" w:eastAsia="宋体" w:cs="Times New Roman"/>
                <w:kern w:val="2"/>
                <w:sz w:val="21"/>
                <w:szCs w:val="21"/>
                <w:lang w:val="en-US" w:eastAsia="zh-CN" w:bidi="ar-SA"/>
              </w:rPr>
            </w:pPr>
            <w:r>
              <w:rPr>
                <w:rFonts w:hint="eastAsia" w:ascii="宋体" w:hAnsi="宋体" w:eastAsia="宋体" w:cs="宋体"/>
                <w:szCs w:val="21"/>
                <w:lang w:val="en-US" w:eastAsia="zh-CN"/>
              </w:rPr>
              <w:t>公司无环境在线监测设备。</w:t>
            </w:r>
          </w:p>
        </w:tc>
        <w:tc>
          <w:tcPr>
            <w:tcW w:w="895" w:type="dxa"/>
          </w:tcPr>
          <w:p>
            <w:r>
              <w:rPr>
                <w:rFonts w:hint="eastAsia" w:ascii="宋体" w:hAnsi="宋体" w:cs="宋体"/>
                <w:sz w:val="21"/>
                <w:szCs w:val="21"/>
                <w:lang w:val="en-US" w:eastAsia="zh-CN"/>
              </w:rPr>
              <w:t>y</w:t>
            </w:r>
          </w:p>
        </w:tc>
      </w:tr>
    </w:tbl>
    <w:p>
      <w:pPr>
        <w:pStyle w:val="7"/>
        <w:rPr>
          <w:rFonts w:hint="eastAsia"/>
        </w:rPr>
      </w:pPr>
    </w:p>
    <w:p>
      <w:pPr>
        <w:pStyle w:val="7"/>
      </w:pPr>
      <w:r>
        <w:rPr>
          <w:rFonts w:hint="eastAsia"/>
        </w:rPr>
        <w:t>说明：不符合标注N</w:t>
      </w:r>
    </w:p>
    <w:p>
      <w:pPr>
        <w:spacing w:line="480" w:lineRule="exact"/>
        <w:jc w:val="center"/>
        <w:rPr>
          <w:rFonts w:hint="eastAsia" w:ascii="隶书" w:hAnsi="宋体" w:eastAsia="隶书"/>
          <w:bCs/>
          <w:color w:val="000000"/>
          <w:sz w:val="36"/>
          <w:szCs w:val="36"/>
        </w:rPr>
      </w:pPr>
    </w:p>
    <w:p>
      <w:pPr>
        <w:spacing w:line="480" w:lineRule="exact"/>
        <w:jc w:val="center"/>
        <w:rPr>
          <w:rFonts w:ascii="隶书" w:hAnsi="宋体" w:eastAsia="隶书"/>
          <w:bCs/>
          <w:color w:val="000000"/>
          <w:sz w:val="36"/>
          <w:szCs w:val="36"/>
        </w:rPr>
      </w:pPr>
      <w:r>
        <w:rPr>
          <w:rFonts w:hint="eastAsia" w:ascii="隶书" w:hAnsi="宋体" w:eastAsia="隶书"/>
          <w:bCs/>
          <w:color w:val="000000"/>
          <w:sz w:val="36"/>
          <w:szCs w:val="36"/>
        </w:rPr>
        <w:t>管理体系审核记录表</w:t>
      </w:r>
    </w:p>
    <w:tbl>
      <w:tblPr>
        <w:tblStyle w:val="12"/>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60"/>
        <w:gridCol w:w="960"/>
        <w:gridCol w:w="10305"/>
        <w:gridCol w:w="12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2160" w:type="dxa"/>
            <w:vMerge w:val="restart"/>
            <w:vAlign w:val="center"/>
          </w:tcPr>
          <w:p>
            <w:pPr>
              <w:spacing w:before="120"/>
              <w:jc w:val="center"/>
            </w:pPr>
            <w:r>
              <w:rPr>
                <w:rFonts w:hint="eastAsia"/>
              </w:rPr>
              <w:t>说明：不符合标注N</w:t>
            </w:r>
          </w:p>
        </w:tc>
        <w:tc>
          <w:tcPr>
            <w:tcW w:w="960" w:type="dxa"/>
            <w:vMerge w:val="restart"/>
            <w:vAlign w:val="center"/>
          </w:tcPr>
          <w:p>
            <w:pPr>
              <w:rPr>
                <w:sz w:val="24"/>
                <w:szCs w:val="24"/>
              </w:rPr>
            </w:pPr>
            <w:r>
              <w:rPr>
                <w:rFonts w:hint="eastAsia"/>
                <w:sz w:val="24"/>
                <w:szCs w:val="24"/>
              </w:rPr>
              <w:t>涉及</w:t>
            </w:r>
          </w:p>
          <w:p>
            <w:r>
              <w:rPr>
                <w:rFonts w:hint="eastAsia"/>
                <w:sz w:val="24"/>
                <w:szCs w:val="24"/>
              </w:rPr>
              <w:t>条款</w:t>
            </w:r>
          </w:p>
        </w:tc>
        <w:tc>
          <w:tcPr>
            <w:tcW w:w="10305" w:type="dxa"/>
            <w:vAlign w:val="center"/>
          </w:tcPr>
          <w:p>
            <w:pPr>
              <w:rPr>
                <w:rFonts w:hint="eastAsia" w:eastAsia="宋体"/>
                <w:sz w:val="24"/>
                <w:szCs w:val="24"/>
                <w:lang w:eastAsia="zh-CN"/>
              </w:rPr>
            </w:pPr>
            <w:r>
              <w:rPr>
                <w:rFonts w:hint="eastAsia"/>
                <w:sz w:val="24"/>
                <w:szCs w:val="24"/>
              </w:rPr>
              <w:t>受审核部门：</w:t>
            </w:r>
            <w:r>
              <w:rPr>
                <w:rFonts w:hint="eastAsia" w:ascii="宋体" w:hAnsi="宋体" w:cs="宋体"/>
                <w:szCs w:val="21"/>
                <w:lang w:eastAsia="zh-CN"/>
              </w:rPr>
              <w:t>生技部</w:t>
            </w:r>
            <w:r>
              <w:rPr>
                <w:rFonts w:hint="eastAsia"/>
                <w:sz w:val="24"/>
                <w:szCs w:val="24"/>
              </w:rPr>
              <w:t xml:space="preserve">   主管领导：</w:t>
            </w:r>
            <w:r>
              <w:rPr>
                <w:rFonts w:hint="eastAsia"/>
                <w:sz w:val="24"/>
                <w:szCs w:val="24"/>
                <w:lang w:val="en-US" w:eastAsia="zh-CN"/>
              </w:rPr>
              <w:t>王西海</w:t>
            </w:r>
            <w:r>
              <w:rPr>
                <w:rFonts w:hint="eastAsia"/>
                <w:sz w:val="24"/>
                <w:szCs w:val="24"/>
              </w:rPr>
              <w:t xml:space="preserve">  陪同人员：</w:t>
            </w:r>
            <w:r>
              <w:rPr>
                <w:rFonts w:hint="eastAsia"/>
                <w:sz w:val="24"/>
                <w:szCs w:val="24"/>
                <w:lang w:val="en-US" w:eastAsia="zh-CN"/>
              </w:rPr>
              <w:t>王欢</w:t>
            </w:r>
          </w:p>
        </w:tc>
        <w:tc>
          <w:tcPr>
            <w:tcW w:w="1284" w:type="dxa"/>
            <w:vMerge w:val="restart"/>
            <w:vAlign w:val="center"/>
          </w:tcPr>
          <w:p>
            <w:pPr>
              <w:rPr>
                <w:sz w:val="24"/>
                <w:szCs w:val="24"/>
              </w:rPr>
            </w:pPr>
            <w:r>
              <w:rPr>
                <w:rFonts w:hint="eastAsia"/>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160" w:type="dxa"/>
            <w:vMerge w:val="continue"/>
            <w:vAlign w:val="center"/>
          </w:tcPr>
          <w:p/>
        </w:tc>
        <w:tc>
          <w:tcPr>
            <w:tcW w:w="960" w:type="dxa"/>
            <w:vMerge w:val="continue"/>
            <w:vAlign w:val="center"/>
          </w:tcPr>
          <w:p/>
        </w:tc>
        <w:tc>
          <w:tcPr>
            <w:tcW w:w="10305" w:type="dxa"/>
            <w:vAlign w:val="center"/>
          </w:tcPr>
          <w:p>
            <w:pPr>
              <w:spacing w:before="120"/>
              <w:rPr>
                <w:rFonts w:hint="default" w:eastAsia="宋体"/>
                <w:lang w:val="en-US" w:eastAsia="zh-CN"/>
              </w:rPr>
            </w:pPr>
            <w:r>
              <w:rPr>
                <w:rFonts w:hint="eastAsia"/>
                <w:sz w:val="24"/>
                <w:szCs w:val="24"/>
              </w:rPr>
              <w:t>审核员：</w:t>
            </w:r>
            <w:r>
              <w:rPr>
                <w:rFonts w:hint="eastAsia"/>
                <w:sz w:val="24"/>
                <w:szCs w:val="24"/>
                <w:lang w:val="en-US" w:eastAsia="zh-CN"/>
              </w:rPr>
              <w:t xml:space="preserve">李丽英         </w:t>
            </w:r>
            <w:r>
              <w:rPr>
                <w:rFonts w:hint="eastAsia"/>
                <w:sz w:val="24"/>
                <w:szCs w:val="24"/>
              </w:rPr>
              <w:t xml:space="preserve">    审核时间：</w:t>
            </w:r>
            <w:r>
              <w:rPr>
                <w:rFonts w:hint="eastAsia"/>
                <w:sz w:val="24"/>
                <w:szCs w:val="24"/>
                <w:lang w:val="en-US" w:eastAsia="zh-CN"/>
              </w:rPr>
              <w:t>2023.3.3</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Merge w:val="continue"/>
            <w:vAlign w:val="center"/>
          </w:tcPr>
          <w:p/>
        </w:tc>
        <w:tc>
          <w:tcPr>
            <w:tcW w:w="960" w:type="dxa"/>
            <w:vMerge w:val="continue"/>
            <w:vAlign w:val="center"/>
          </w:tcPr>
          <w:p/>
        </w:tc>
        <w:tc>
          <w:tcPr>
            <w:tcW w:w="10305" w:type="dxa"/>
            <w:vAlign w:val="center"/>
          </w:tcPr>
          <w:p>
            <w:pPr>
              <w:spacing w:line="300" w:lineRule="exact"/>
              <w:rPr>
                <w:rFonts w:hint="eastAsia"/>
              </w:rPr>
            </w:pPr>
            <w:r>
              <w:rPr>
                <w:rFonts w:hint="eastAsia"/>
              </w:rPr>
              <w:t>审核条款：</w:t>
            </w:r>
          </w:p>
          <w:p>
            <w:pPr>
              <w:rPr>
                <w:rFonts w:hint="eastAsia" w:eastAsia="宋体"/>
                <w:sz w:val="21"/>
                <w:szCs w:val="21"/>
                <w:lang w:val="en-US" w:eastAsia="zh-CN"/>
              </w:rPr>
            </w:pPr>
            <w:r>
              <w:rPr>
                <w:rFonts w:hint="eastAsia"/>
                <w:sz w:val="21"/>
                <w:szCs w:val="21"/>
              </w:rPr>
              <w:t>QMS</w:t>
            </w:r>
            <w:r>
              <w:rPr>
                <w:rFonts w:hint="eastAsia"/>
                <w:sz w:val="21"/>
                <w:szCs w:val="21"/>
                <w:lang w:val="en-US" w:eastAsia="zh-CN"/>
              </w:rPr>
              <w:t>:5.3/6.2/7.1.3/7.1.4/7</w:t>
            </w:r>
            <w:r>
              <w:rPr>
                <w:rFonts w:hint="eastAsia"/>
                <w:sz w:val="21"/>
                <w:szCs w:val="21"/>
              </w:rPr>
              <w:t>.</w:t>
            </w:r>
            <w:r>
              <w:rPr>
                <w:rFonts w:hint="eastAsia"/>
                <w:sz w:val="21"/>
                <w:szCs w:val="21"/>
                <w:lang w:val="en-US" w:eastAsia="zh-CN"/>
              </w:rPr>
              <w:t>1.5/8.1/8.3/8.5.1/8.5.2/8.5.3/8.5.4/8.5.6/8.6/8.7/10</w:t>
            </w:r>
            <w:r>
              <w:rPr>
                <w:rFonts w:hint="eastAsia"/>
                <w:sz w:val="21"/>
                <w:szCs w:val="21"/>
              </w:rPr>
              <w:t>.</w:t>
            </w:r>
            <w:r>
              <w:rPr>
                <w:rFonts w:hint="eastAsia"/>
                <w:sz w:val="21"/>
                <w:szCs w:val="21"/>
                <w:lang w:val="en-US" w:eastAsia="zh-CN"/>
              </w:rPr>
              <w:t>2</w:t>
            </w:r>
          </w:p>
          <w:p>
            <w:pPr>
              <w:spacing w:line="300" w:lineRule="exact"/>
            </w:pPr>
            <w:r>
              <w:rPr>
                <w:rFonts w:hint="eastAsia"/>
                <w:sz w:val="21"/>
                <w:szCs w:val="21"/>
              </w:rPr>
              <w:t>EMS:</w:t>
            </w:r>
            <w:r>
              <w:rPr>
                <w:rFonts w:hint="eastAsia"/>
                <w:sz w:val="21"/>
                <w:szCs w:val="21"/>
                <w:lang w:val="en-US" w:eastAsia="zh-CN"/>
              </w:rPr>
              <w:t>5.3/6.2/6.1.2/6.1.4/8.1/8</w:t>
            </w:r>
            <w:r>
              <w:rPr>
                <w:rFonts w:hint="eastAsia"/>
                <w:sz w:val="21"/>
                <w:szCs w:val="21"/>
              </w:rPr>
              <w:t>.</w:t>
            </w:r>
            <w:r>
              <w:rPr>
                <w:rFonts w:hint="eastAsia"/>
                <w:sz w:val="21"/>
                <w:szCs w:val="21"/>
                <w:lang w:val="en-US" w:eastAsia="zh-CN"/>
              </w:rPr>
              <w:t>2/10</w:t>
            </w:r>
            <w:r>
              <w:rPr>
                <w:rFonts w:hint="eastAsia"/>
                <w:sz w:val="21"/>
                <w:szCs w:val="21"/>
              </w:rPr>
              <w:t>.</w:t>
            </w:r>
            <w:r>
              <w:rPr>
                <w:rFonts w:hint="eastAsia"/>
                <w:sz w:val="21"/>
                <w:szCs w:val="21"/>
                <w:lang w:val="en-US" w:eastAsia="zh-CN"/>
              </w:rPr>
              <w:t>2</w:t>
            </w:r>
          </w:p>
        </w:tc>
        <w:tc>
          <w:tcPr>
            <w:tcW w:w="1284" w:type="dxa"/>
            <w:vMerge w:val="continue"/>
          </w:tc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r>
              <w:rPr>
                <w:rFonts w:hint="eastAsia"/>
              </w:rPr>
              <w:t>组织的角色、职责和权限</w:t>
            </w:r>
          </w:p>
        </w:tc>
        <w:tc>
          <w:tcPr>
            <w:tcW w:w="960" w:type="dxa"/>
            <w:vAlign w:val="center"/>
          </w:tcPr>
          <w:p>
            <w:pPr>
              <w:rPr>
                <w:rFonts w:hint="default" w:eastAsia="宋体"/>
                <w:lang w:val="en-US" w:eastAsia="zh-CN"/>
              </w:rPr>
            </w:pPr>
            <w:r>
              <w:rPr>
                <w:rFonts w:hint="eastAsia"/>
                <w:lang w:val="en-US" w:eastAsia="zh-CN"/>
              </w:rPr>
              <w:t>QE5.3</w:t>
            </w:r>
          </w:p>
        </w:tc>
        <w:tc>
          <w:tcPr>
            <w:tcW w:w="10305" w:type="dxa"/>
            <w:vAlign w:val="center"/>
          </w:tcPr>
          <w:p>
            <w:pPr>
              <w:keepNext w:val="0"/>
              <w:keepLines w:val="0"/>
              <w:pageBreakBefore w:val="0"/>
              <w:widowControl w:val="0"/>
              <w:kinsoku/>
              <w:wordWrap/>
              <w:overflowPunct/>
              <w:topLinePunct w:val="0"/>
              <w:autoSpaceDE/>
              <w:autoSpaceDN/>
              <w:bidi w:val="0"/>
              <w:adjustRightInd/>
              <w:snapToGrid/>
              <w:spacing w:before="157" w:beforeLines="50" w:after="0" w:line="240" w:lineRule="auto"/>
              <w:textAlignment w:val="auto"/>
              <w:rPr>
                <w:rFonts w:ascii="宋体" w:hAnsi="宋体"/>
              </w:rPr>
            </w:pPr>
            <w:r>
              <w:rPr>
                <w:rFonts w:hint="eastAsia" w:ascii="宋体" w:hAnsi="宋体" w:eastAsia="宋体" w:cs="Arial"/>
                <w:b w:val="0"/>
                <w:sz w:val="21"/>
                <w:szCs w:val="21"/>
                <w:highlight w:val="none"/>
              </w:rPr>
              <w:t>在《管理手册》中规定了</w:t>
            </w:r>
            <w:r>
              <w:rPr>
                <w:rFonts w:hint="eastAsia" w:ascii="宋体" w:hAnsi="宋体" w:cs="Arial"/>
                <w:b w:val="0"/>
                <w:sz w:val="21"/>
                <w:szCs w:val="21"/>
                <w:highlight w:val="none"/>
                <w:lang w:val="en-US" w:eastAsia="zh-CN"/>
              </w:rPr>
              <w:t>生技部</w:t>
            </w:r>
            <w:r>
              <w:rPr>
                <w:rFonts w:hint="eastAsia" w:ascii="宋体" w:hAnsi="宋体" w:eastAsia="宋体" w:cs="Arial"/>
                <w:b w:val="0"/>
                <w:sz w:val="21"/>
                <w:szCs w:val="21"/>
                <w:highlight w:val="none"/>
              </w:rPr>
              <w:t>的职责和权限，以确保部门工作的展开和实施：</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宋体" w:hAnsi="宋体"/>
              </w:rPr>
            </w:pPr>
            <w:r>
              <w:rPr>
                <w:rFonts w:hint="eastAsia" w:ascii="宋体" w:hAnsi="宋体"/>
              </w:rPr>
              <w:t>负责公司产品的策划全过程，</w:t>
            </w:r>
            <w:r>
              <w:rPr>
                <w:rFonts w:hint="eastAsia" w:ascii="宋体" w:hAnsi="宋体" w:cs="宋体"/>
                <w:kern w:val="0"/>
              </w:rPr>
              <w:t>并制作技术、工艺文件；对技术文件的正确性合理性负责</w:t>
            </w:r>
            <w:r>
              <w:rPr>
                <w:rFonts w:hint="eastAsia" w:ascii="宋体" w:hAnsi="宋体"/>
              </w:rPr>
              <w:t>。</w:t>
            </w:r>
            <w:r>
              <w:rPr>
                <w:rFonts w:hint="eastAsia" w:ascii="宋体" w:hAnsi="宋体" w:cs="宋体"/>
                <w:kern w:val="0"/>
              </w:rPr>
              <w:t>负责组织公司员工的技术、工艺培训与技术评测</w:t>
            </w:r>
            <w:r>
              <w:rPr>
                <w:rFonts w:hint="eastAsia" w:ascii="宋体" w:hAnsi="宋体" w:cs="宋体"/>
                <w:kern w:val="0"/>
                <w:lang w:eastAsia="zh-CN"/>
              </w:rPr>
              <w:t>；</w:t>
            </w:r>
            <w:r>
              <w:rPr>
                <w:rFonts w:hint="eastAsia" w:ascii="宋体" w:hAnsi="宋体"/>
              </w:rPr>
              <w:t>负责制订和实施生产制造计划，对产品全过程进行组织策划。负责产品质量、环境目标的实现，确保产品性能的适用性。实施对生产资源、仪器仪表、生产现场、工作环境及生产作业的科学管理。负责对生产现场的标识、搬运和顾客财产、产品防护与不合格品的控制。当现场出现紧急情况时，负责具体实施；负责本部门环境因素和危险源的识别、评价与控制管理工作。严格执行公司设备相关的管理制度，负责公司生产设备的安装、维修保养、更换、拆机等工作</w:t>
            </w:r>
            <w:r>
              <w:rPr>
                <w:rFonts w:hint="eastAsia" w:ascii="宋体" w:hAnsi="宋体"/>
                <w:lang w:eastAsia="zh-CN"/>
              </w:rPr>
              <w:t>；</w:t>
            </w:r>
            <w:r>
              <w:rPr>
                <w:rFonts w:hint="eastAsia" w:ascii="宋体" w:hAnsi="宋体"/>
              </w:rPr>
              <w:t>负责产品标准和客户要求，编制工艺文件、作业指导书和检验规程</w:t>
            </w:r>
            <w:r>
              <w:rPr>
                <w:rFonts w:hint="eastAsia" w:ascii="宋体" w:hAnsi="宋体"/>
                <w:lang w:eastAsia="zh-CN"/>
              </w:rPr>
              <w:t>；</w:t>
            </w:r>
            <w:r>
              <w:rPr>
                <w:rFonts w:hint="eastAsia" w:ascii="宋体" w:hAnsi="宋体"/>
              </w:rPr>
              <w:t>负责不合格品的控制情况；组织对严重不合格品的评审处置，跟踪、验证各部门纠正措施和预防措施的落实情况。负责对公司的监视和测量设备进行检定</w:t>
            </w:r>
            <w:r>
              <w:rPr>
                <w:rFonts w:ascii="宋体" w:hAnsi="宋体"/>
              </w:rPr>
              <w:t>/</w:t>
            </w:r>
            <w:r>
              <w:rPr>
                <w:rFonts w:hint="eastAsia" w:ascii="宋体" w:hAnsi="宋体"/>
              </w:rPr>
              <w:t>检验和管理。</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ascii="宋体" w:hAnsi="宋体"/>
                <w:szCs w:val="22"/>
              </w:rPr>
            </w:pPr>
            <w:r>
              <w:rPr>
                <w:rFonts w:hint="eastAsia" w:ascii="宋体" w:hAnsi="宋体"/>
                <w:szCs w:val="22"/>
              </w:rPr>
              <w:t>部门职责清晰、明确。</w:t>
            </w:r>
          </w:p>
          <w:p>
            <w:pPr>
              <w:keepNext w:val="0"/>
              <w:keepLines w:val="0"/>
              <w:pageBreakBefore w:val="0"/>
              <w:widowControl w:val="0"/>
              <w:kinsoku/>
              <w:wordWrap/>
              <w:overflowPunct/>
              <w:topLinePunct w:val="0"/>
              <w:autoSpaceDE/>
              <w:autoSpaceDN/>
              <w:bidi w:val="0"/>
              <w:adjustRightInd/>
              <w:snapToGrid/>
              <w:spacing w:before="157" w:beforeLines="50" w:line="240" w:lineRule="auto"/>
              <w:textAlignment w:val="auto"/>
              <w:rPr>
                <w:rFonts w:hint="eastAsia"/>
                <w:sz w:val="24"/>
                <w:szCs w:val="24"/>
              </w:rPr>
            </w:pPr>
            <w:r>
              <w:rPr>
                <w:rFonts w:hint="eastAsia" w:ascii="宋体" w:hAnsi="宋体"/>
                <w:szCs w:val="22"/>
                <w:lang w:val="en-US" w:eastAsia="zh-CN"/>
              </w:rPr>
              <w:t>生技部</w:t>
            </w:r>
            <w:r>
              <w:rPr>
                <w:rFonts w:hint="eastAsia" w:ascii="宋体" w:hAnsi="宋体"/>
                <w:szCs w:val="22"/>
              </w:rPr>
              <w:t>负责人能基本阐述本部门的主要职责。</w:t>
            </w:r>
          </w:p>
        </w:tc>
        <w:tc>
          <w:tcPr>
            <w:tcW w:w="1284" w:type="dxa"/>
            <w:vAlign w:val="top"/>
          </w:tcPr>
          <w:p>
            <w:pPr>
              <w:rPr>
                <w:rFonts w:ascii="Times New Roman" w:hAnsi="Times New Roman" w:eastAsia="宋体" w:cs="Times New Roman"/>
                <w:kern w:val="2"/>
                <w:sz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rPr>
            </w:pPr>
            <w:r>
              <w:rPr>
                <w:rFonts w:hint="eastAsia"/>
              </w:rPr>
              <w:t>目标及其达成的策划</w:t>
            </w:r>
          </w:p>
        </w:tc>
        <w:tc>
          <w:tcPr>
            <w:tcW w:w="960" w:type="dxa"/>
            <w:vAlign w:val="center"/>
          </w:tcPr>
          <w:p>
            <w:pPr>
              <w:rPr>
                <w:rFonts w:hint="default"/>
                <w:lang w:val="en-US" w:eastAsia="zh-CN"/>
              </w:rPr>
            </w:pPr>
            <w:r>
              <w:rPr>
                <w:rFonts w:hint="eastAsia"/>
                <w:lang w:val="en-US" w:eastAsia="zh-CN"/>
              </w:rPr>
              <w:t>QE6.2</w:t>
            </w:r>
          </w:p>
        </w:tc>
        <w:tc>
          <w:tcPr>
            <w:tcW w:w="10305" w:type="dxa"/>
            <w:vAlign w:val="top"/>
          </w:tcPr>
          <w:p>
            <w:pPr>
              <w:spacing w:line="400" w:lineRule="exac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val="en-US" w:eastAsia="zh-CN"/>
              </w:rPr>
              <w:t>2022</w:t>
            </w:r>
            <w:r>
              <w:rPr>
                <w:rFonts w:hint="eastAsia" w:ascii="宋体" w:hAnsi="宋体" w:cs="宋体"/>
                <w:color w:val="auto"/>
                <w:szCs w:val="21"/>
              </w:rPr>
              <w:t>《部门目标完成情况统计表》对部门目标进行考核，</w:t>
            </w:r>
            <w:r>
              <w:rPr>
                <w:rFonts w:hint="eastAsia" w:ascii="宋体" w:hAnsi="宋体" w:cs="宋体"/>
                <w:color w:val="auto"/>
                <w:szCs w:val="21"/>
                <w:lang w:val="en-US" w:eastAsia="zh-CN"/>
              </w:rPr>
              <w:t>生技部质量指标及</w:t>
            </w:r>
            <w:r>
              <w:rPr>
                <w:rFonts w:hint="eastAsia" w:ascii="宋体" w:hAnsi="宋体" w:cs="宋体"/>
                <w:color w:val="auto"/>
                <w:szCs w:val="21"/>
              </w:rPr>
              <w:t>完成情况为：</w:t>
            </w:r>
          </w:p>
          <w:p>
            <w:pP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w:t>
            </w:r>
            <w:r>
              <w:rPr>
                <w:rFonts w:hint="eastAsia" w:ascii="宋体" w:hAnsi="宋体" w:cs="宋体"/>
                <w:color w:val="auto"/>
                <w:szCs w:val="21"/>
              </w:rPr>
              <w:t>作业人员持证上岗率100%</w:t>
            </w:r>
            <w:r>
              <w:rPr>
                <w:rFonts w:hint="eastAsia" w:ascii="宋体" w:hAnsi="宋体" w:cs="宋体"/>
                <w:color w:val="auto"/>
                <w:szCs w:val="21"/>
                <w:lang w:val="en-US" w:eastAsia="zh-CN"/>
              </w:rPr>
              <w:t xml:space="preserve">                      实际完成：100%</w:t>
            </w:r>
          </w:p>
          <w:p>
            <w:pPr>
              <w:rPr>
                <w:rFonts w:hint="default" w:ascii="宋体" w:hAnsi="宋体" w:cs="宋体"/>
                <w:color w:val="auto"/>
                <w:szCs w:val="21"/>
                <w:lang w:val="en-US"/>
              </w:rPr>
            </w:pPr>
            <w:r>
              <w:rPr>
                <w:rFonts w:hint="eastAsia" w:ascii="宋体" w:hAnsi="宋体" w:cs="宋体"/>
                <w:color w:val="auto"/>
                <w:szCs w:val="21"/>
                <w:lang w:val="en-US" w:eastAsia="zh-CN"/>
              </w:rPr>
              <w:t>2.</w:t>
            </w:r>
            <w:r>
              <w:rPr>
                <w:rFonts w:hint="eastAsia" w:ascii="宋体" w:hAnsi="宋体" w:cs="宋体"/>
                <w:color w:val="auto"/>
                <w:szCs w:val="21"/>
              </w:rPr>
              <w:t>生产计划准时完成率≥99%</w:t>
            </w:r>
            <w:r>
              <w:rPr>
                <w:rFonts w:hint="eastAsia" w:ascii="宋体" w:hAnsi="宋体" w:cs="宋体"/>
                <w:color w:val="auto"/>
                <w:szCs w:val="21"/>
                <w:lang w:val="en-US" w:eastAsia="zh-CN"/>
              </w:rPr>
              <w:t xml:space="preserve">                     实际完成：100%</w:t>
            </w:r>
          </w:p>
          <w:p>
            <w:pPr>
              <w:rPr>
                <w:rFonts w:hint="eastAsia" w:ascii="宋体" w:hAnsi="宋体" w:cs="宋体"/>
                <w:color w:val="auto"/>
                <w:szCs w:val="21"/>
              </w:rPr>
            </w:pPr>
            <w:r>
              <w:rPr>
                <w:rFonts w:hint="eastAsia" w:ascii="宋体" w:hAnsi="宋体" w:cs="宋体"/>
                <w:color w:val="auto"/>
                <w:szCs w:val="21"/>
                <w:lang w:val="en-US" w:eastAsia="zh-CN"/>
              </w:rPr>
              <w:t>3.</w:t>
            </w:r>
            <w:r>
              <w:rPr>
                <w:rFonts w:hint="eastAsia" w:ascii="宋体" w:hAnsi="宋体" w:cs="宋体"/>
                <w:color w:val="auto"/>
                <w:szCs w:val="21"/>
              </w:rPr>
              <w:t>一次交付合格率100%</w:t>
            </w:r>
            <w:r>
              <w:rPr>
                <w:rFonts w:hint="eastAsia" w:ascii="宋体" w:hAnsi="宋体" w:cs="宋体"/>
                <w:color w:val="auto"/>
                <w:szCs w:val="21"/>
                <w:lang w:val="en-US" w:eastAsia="zh-CN"/>
              </w:rPr>
              <w:t xml:space="preserve">                          实际完成：100%</w:t>
            </w:r>
          </w:p>
          <w:p>
            <w:pPr>
              <w:rPr>
                <w:rFonts w:hint="eastAsia" w:ascii="宋体" w:hAnsi="宋体" w:cs="宋体"/>
                <w:color w:val="auto"/>
                <w:szCs w:val="21"/>
                <w:lang w:val="en-US" w:eastAsia="zh-CN"/>
              </w:rPr>
            </w:pPr>
            <w:r>
              <w:rPr>
                <w:rFonts w:hint="eastAsia" w:ascii="宋体" w:hAnsi="宋体" w:cs="宋体"/>
                <w:color w:val="auto"/>
                <w:szCs w:val="21"/>
                <w:lang w:val="en-US" w:eastAsia="zh-CN"/>
              </w:rPr>
              <w:t>4.</w:t>
            </w:r>
            <w:r>
              <w:rPr>
                <w:rFonts w:hint="eastAsia" w:ascii="宋体" w:hAnsi="宋体" w:cs="宋体"/>
                <w:color w:val="auto"/>
                <w:szCs w:val="21"/>
              </w:rPr>
              <w:t>生产设备完好率≥99%</w:t>
            </w:r>
            <w:r>
              <w:rPr>
                <w:rFonts w:hint="eastAsia" w:ascii="宋体" w:hAnsi="宋体" w:cs="宋体"/>
                <w:color w:val="auto"/>
                <w:szCs w:val="21"/>
                <w:lang w:val="en-US" w:eastAsia="zh-CN"/>
              </w:rPr>
              <w:t xml:space="preserve">                          实际完成：100%</w:t>
            </w:r>
          </w:p>
          <w:p>
            <w:pPr>
              <w:pStyle w:val="4"/>
              <w:rPr>
                <w:rFonts w:hint="default" w:eastAsia="宋体"/>
                <w:lang w:val="en-US" w:eastAsia="zh-CN"/>
              </w:rPr>
            </w:pPr>
            <w:r>
              <w:rPr>
                <w:rFonts w:hint="eastAsia"/>
                <w:lang w:val="en-US" w:eastAsia="zh-CN"/>
              </w:rPr>
              <w:t xml:space="preserve">5监视和测量设备定期效验率≥95%                  </w:t>
            </w:r>
            <w:r>
              <w:rPr>
                <w:rFonts w:hint="eastAsia" w:ascii="宋体" w:hAnsi="宋体" w:cs="宋体"/>
                <w:color w:val="auto"/>
                <w:szCs w:val="21"/>
                <w:lang w:val="en-US" w:eastAsia="zh-CN"/>
              </w:rPr>
              <w:t>实际完成：100%</w:t>
            </w:r>
          </w:p>
          <w:p>
            <w:pPr>
              <w:numPr>
                <w:ilvl w:val="0"/>
                <w:numId w:val="1"/>
              </w:numPr>
              <w:rPr>
                <w:rFonts w:hint="eastAsia" w:ascii="宋体" w:hAnsi="宋体" w:cs="宋体"/>
                <w:color w:val="auto"/>
                <w:szCs w:val="21"/>
                <w:lang w:val="en-US" w:eastAsia="zh-CN"/>
              </w:rPr>
            </w:pPr>
            <w:r>
              <w:rPr>
                <w:rFonts w:hint="eastAsia" w:ascii="宋体" w:hAnsi="宋体" w:cs="宋体"/>
                <w:color w:val="auto"/>
                <w:szCs w:val="21"/>
              </w:rPr>
              <w:t>不合格品评审率100%</w:t>
            </w:r>
            <w:r>
              <w:rPr>
                <w:rFonts w:hint="eastAsia" w:ascii="宋体" w:hAnsi="宋体" w:cs="宋体"/>
                <w:color w:val="auto"/>
                <w:szCs w:val="21"/>
                <w:lang w:val="en-US" w:eastAsia="zh-CN"/>
              </w:rPr>
              <w:t xml:space="preserve">                          实际完成：100%</w:t>
            </w:r>
          </w:p>
          <w:p>
            <w:pPr>
              <w:pStyle w:val="4"/>
              <w:numPr>
                <w:ilvl w:val="0"/>
                <w:numId w:val="0"/>
              </w:numPr>
              <w:rPr>
                <w:rFonts w:hint="default"/>
                <w:lang w:val="en-US" w:eastAsia="zh-CN"/>
              </w:rPr>
            </w:pPr>
            <w:r>
              <w:rPr>
                <w:rFonts w:hint="eastAsia"/>
                <w:lang w:val="en-US" w:eastAsia="zh-CN"/>
              </w:rPr>
              <w:t>环境指标及完成情况：</w:t>
            </w:r>
          </w:p>
          <w:p>
            <w:pPr>
              <w:rPr>
                <w:rFonts w:hint="default" w:ascii="宋体" w:hAnsi="宋体" w:eastAsia="宋体" w:cs="宋体"/>
                <w:color w:val="auto"/>
                <w:szCs w:val="21"/>
                <w:lang w:val="en-US" w:eastAsia="zh-CN"/>
              </w:rPr>
            </w:pPr>
            <w:r>
              <w:rPr>
                <w:rFonts w:hint="eastAsia" w:ascii="宋体" w:hAnsi="宋体" w:cs="宋体"/>
                <w:color w:val="auto"/>
                <w:szCs w:val="21"/>
                <w:lang w:val="en-US" w:eastAsia="zh-CN"/>
              </w:rPr>
              <w:t>1.</w:t>
            </w:r>
            <w:r>
              <w:rPr>
                <w:rFonts w:hint="eastAsia" w:ascii="宋体" w:hAnsi="宋体" w:cs="宋体"/>
                <w:color w:val="auto"/>
                <w:szCs w:val="21"/>
              </w:rPr>
              <w:t>消防器材完好率100%，火灾发生率为“0”</w:t>
            </w:r>
            <w:r>
              <w:rPr>
                <w:rFonts w:hint="eastAsia" w:ascii="宋体" w:hAnsi="宋体" w:cs="宋体"/>
                <w:color w:val="auto"/>
                <w:szCs w:val="21"/>
                <w:lang w:val="en-US" w:eastAsia="zh-CN"/>
              </w:rPr>
              <w:t xml:space="preserve">       实际完成：完好率100%，火灾0</w:t>
            </w:r>
          </w:p>
          <w:p>
            <w:pPr>
              <w:rPr>
                <w:rFonts w:hint="eastAsia" w:ascii="宋体" w:hAnsi="宋体" w:cs="宋体"/>
                <w:color w:val="auto"/>
                <w:szCs w:val="21"/>
              </w:rPr>
            </w:pPr>
            <w:r>
              <w:rPr>
                <w:rFonts w:hint="eastAsia" w:ascii="宋体" w:hAnsi="宋体" w:cs="宋体"/>
                <w:color w:val="auto"/>
                <w:szCs w:val="21"/>
                <w:lang w:val="en-US" w:eastAsia="zh-CN"/>
              </w:rPr>
              <w:t>2.</w:t>
            </w:r>
            <w:r>
              <w:rPr>
                <w:rFonts w:hint="eastAsia" w:ascii="宋体" w:hAnsi="宋体" w:cs="宋体"/>
                <w:color w:val="auto"/>
                <w:szCs w:val="21"/>
              </w:rPr>
              <w:t>固体废弃物统一处理率达100%</w:t>
            </w:r>
            <w:r>
              <w:rPr>
                <w:rFonts w:hint="eastAsia" w:ascii="宋体" w:hAnsi="宋体" w:cs="宋体"/>
                <w:color w:val="auto"/>
                <w:szCs w:val="21"/>
                <w:lang w:val="en-US" w:eastAsia="zh-CN"/>
              </w:rPr>
              <w:t xml:space="preserve">                   实际完成：100%</w:t>
            </w:r>
          </w:p>
          <w:p>
            <w:pPr>
              <w:rPr>
                <w:rFonts w:hint="default" w:ascii="宋体" w:hAnsi="宋体" w:eastAsia="宋体" w:cs="宋体"/>
                <w:color w:val="auto"/>
                <w:szCs w:val="21"/>
                <w:lang w:val="en-US" w:eastAsia="zh-CN"/>
              </w:rPr>
            </w:pPr>
            <w:r>
              <w:rPr>
                <w:rFonts w:hint="eastAsia" w:ascii="宋体" w:hAnsi="宋体" w:cs="宋体"/>
                <w:color w:val="auto"/>
                <w:szCs w:val="21"/>
                <w:lang w:val="en-US" w:eastAsia="zh-CN"/>
              </w:rPr>
              <w:t>3.</w:t>
            </w:r>
            <w:r>
              <w:rPr>
                <w:rFonts w:hint="eastAsia" w:ascii="宋体" w:hAnsi="宋体" w:cs="宋体"/>
                <w:color w:val="auto"/>
                <w:szCs w:val="21"/>
              </w:rPr>
              <w:t>噪声、废气合规排放</w:t>
            </w:r>
            <w:r>
              <w:rPr>
                <w:rFonts w:hint="eastAsia" w:ascii="宋体" w:hAnsi="宋体" w:cs="宋体"/>
                <w:color w:val="auto"/>
                <w:szCs w:val="21"/>
                <w:lang w:val="en-US" w:eastAsia="zh-CN"/>
              </w:rPr>
              <w:t xml:space="preserve">                        实际完成：100%                      </w:t>
            </w:r>
          </w:p>
          <w:p>
            <w:pPr>
              <w:rPr>
                <w:rFonts w:hint="eastAsia" w:ascii="宋体" w:hAnsi="宋体" w:cs="宋体"/>
                <w:color w:val="auto"/>
                <w:szCs w:val="21"/>
              </w:rPr>
            </w:pPr>
            <w:r>
              <w:rPr>
                <w:rFonts w:hint="eastAsia" w:ascii="宋体" w:hAnsi="宋体" w:cs="宋体"/>
                <w:color w:val="auto"/>
                <w:szCs w:val="21"/>
                <w:lang w:val="en-US" w:eastAsia="zh-CN"/>
              </w:rPr>
              <w:t>4.</w:t>
            </w:r>
            <w:r>
              <w:rPr>
                <w:rFonts w:hint="eastAsia" w:ascii="宋体" w:hAnsi="宋体" w:cs="宋体"/>
                <w:color w:val="auto"/>
                <w:szCs w:val="21"/>
              </w:rPr>
              <w:t>化学品泄漏事故发生率为0</w:t>
            </w:r>
            <w:r>
              <w:rPr>
                <w:rFonts w:hint="eastAsia" w:ascii="宋体" w:hAnsi="宋体" w:cs="宋体"/>
                <w:color w:val="auto"/>
                <w:szCs w:val="21"/>
                <w:lang w:val="en-US" w:eastAsia="zh-CN"/>
              </w:rPr>
              <w:t xml:space="preserve">                   实际完成：0</w:t>
            </w:r>
          </w:p>
          <w:p>
            <w:pPr>
              <w:rPr>
                <w:rFonts w:hint="eastAsia" w:ascii="宋体" w:hAnsi="宋体" w:cs="宋体"/>
                <w:color w:val="auto"/>
                <w:szCs w:val="21"/>
              </w:rPr>
            </w:pPr>
            <w:r>
              <w:rPr>
                <w:rFonts w:hint="eastAsia" w:ascii="宋体" w:hAnsi="宋体" w:cs="宋体"/>
                <w:color w:val="auto"/>
                <w:szCs w:val="21"/>
                <w:lang w:val="en-US" w:eastAsia="zh-CN"/>
              </w:rPr>
              <w:t>5.</w:t>
            </w:r>
            <w:r>
              <w:rPr>
                <w:rFonts w:hint="eastAsia" w:ascii="宋体" w:hAnsi="宋体" w:cs="宋体"/>
                <w:color w:val="auto"/>
                <w:szCs w:val="21"/>
              </w:rPr>
              <w:t>环保设备完好率100%</w:t>
            </w:r>
            <w:r>
              <w:rPr>
                <w:rFonts w:hint="eastAsia" w:ascii="宋体" w:hAnsi="宋体" w:cs="宋体"/>
                <w:color w:val="auto"/>
                <w:szCs w:val="21"/>
                <w:lang w:val="en-US" w:eastAsia="zh-CN"/>
              </w:rPr>
              <w:t xml:space="preserve">                      实际完成：100%</w:t>
            </w:r>
          </w:p>
          <w:p>
            <w:pPr>
              <w:rPr>
                <w:rFonts w:ascii="宋体" w:hAnsi="宋体" w:cs="宋体"/>
                <w:color w:val="auto"/>
                <w:szCs w:val="21"/>
              </w:rPr>
            </w:pPr>
            <w:r>
              <w:rPr>
                <w:rFonts w:hint="eastAsia" w:ascii="宋体" w:hAnsi="宋体" w:cs="宋体"/>
                <w:color w:val="auto"/>
                <w:szCs w:val="21"/>
              </w:rPr>
              <w:t>基本达到目标要求。</w:t>
            </w:r>
          </w:p>
          <w:p>
            <w:pPr>
              <w:rPr>
                <w:rFonts w:hint="eastAsia" w:ascii="宋体" w:hAnsi="宋体" w:eastAsia="宋体" w:cs="宋体"/>
                <w:color w:val="auto"/>
                <w:kern w:val="2"/>
                <w:sz w:val="21"/>
                <w:szCs w:val="21"/>
                <w:lang w:val="en-US" w:eastAsia="zh-CN" w:bidi="ar-SA"/>
              </w:rPr>
            </w:pPr>
            <w:r>
              <w:rPr>
                <w:rFonts w:hint="eastAsia" w:ascii="宋体" w:hAnsi="宋体" w:cs="宋体"/>
                <w:color w:val="auto"/>
                <w:szCs w:val="21"/>
              </w:rPr>
              <w:t>目标量化情况良好。</w:t>
            </w:r>
          </w:p>
        </w:tc>
        <w:tc>
          <w:tcPr>
            <w:tcW w:w="1284" w:type="dxa"/>
            <w:vAlign w:val="top"/>
          </w:tcPr>
          <w:p>
            <w:pP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eastAsia" w:eastAsia="宋体"/>
                <w:lang w:val="en-US" w:eastAsia="zh-CN"/>
              </w:rPr>
            </w:pPr>
            <w:r>
              <w:rPr>
                <w:rFonts w:hint="eastAsia"/>
                <w:lang w:val="en-US" w:eastAsia="zh-CN"/>
              </w:rPr>
              <w:t>环境因素</w:t>
            </w:r>
          </w:p>
        </w:tc>
        <w:tc>
          <w:tcPr>
            <w:tcW w:w="960" w:type="dxa"/>
            <w:vAlign w:val="center"/>
          </w:tcPr>
          <w:p>
            <w:pPr>
              <w:rPr>
                <w:rFonts w:hint="default"/>
                <w:lang w:val="en-US" w:eastAsia="zh-CN"/>
              </w:rPr>
            </w:pPr>
            <w:r>
              <w:rPr>
                <w:rFonts w:hint="eastAsia"/>
                <w:lang w:val="en-US" w:eastAsia="zh-CN"/>
              </w:rPr>
              <w:t>E6.1.2</w:t>
            </w:r>
          </w:p>
        </w:tc>
        <w:tc>
          <w:tcPr>
            <w:tcW w:w="10305" w:type="dxa"/>
            <w:vAlign w:val="top"/>
          </w:tcPr>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lang w:val="en-US" w:eastAsia="zh-CN"/>
              </w:rPr>
              <w:t>生技部</w:t>
            </w:r>
            <w:r>
              <w:rPr>
                <w:rFonts w:hint="eastAsia" w:ascii="宋体" w:hAnsi="宋体" w:cs="宋体"/>
                <w:b w:val="0"/>
                <w:sz w:val="21"/>
                <w:szCs w:val="21"/>
                <w:highlight w:val="none"/>
                <w:lang w:val="en-US" w:eastAsia="zh-CN"/>
              </w:rPr>
              <w:t>提供</w:t>
            </w:r>
            <w:r>
              <w:rPr>
                <w:rFonts w:hint="eastAsia" w:ascii="宋体" w:hAnsi="宋体" w:eastAsia="宋体" w:cs="宋体"/>
                <w:b w:val="0"/>
                <w:sz w:val="21"/>
                <w:szCs w:val="21"/>
                <w:highlight w:val="none"/>
                <w:lang w:val="en-US" w:eastAsia="zh-CN"/>
              </w:rPr>
              <w:t>202</w:t>
            </w:r>
            <w:r>
              <w:rPr>
                <w:rFonts w:hint="eastAsia" w:ascii="宋体" w:hAnsi="宋体" w:cs="宋体"/>
                <w:b w:val="0"/>
                <w:sz w:val="21"/>
                <w:szCs w:val="21"/>
                <w:highlight w:val="none"/>
                <w:lang w:val="en-US" w:eastAsia="zh-CN"/>
              </w:rPr>
              <w:t>2</w:t>
            </w:r>
            <w:r>
              <w:rPr>
                <w:rFonts w:hint="eastAsia" w:ascii="宋体" w:hAnsi="宋体" w:eastAsia="宋体" w:cs="宋体"/>
                <w:b w:val="0"/>
                <w:sz w:val="21"/>
                <w:szCs w:val="21"/>
                <w:highlight w:val="none"/>
                <w:lang w:val="en-US" w:eastAsia="zh-CN"/>
              </w:rPr>
              <w:t>年9</w:t>
            </w:r>
            <w:r>
              <w:rPr>
                <w:rFonts w:hint="eastAsia" w:ascii="宋体" w:hAnsi="宋体" w:eastAsia="宋体" w:cs="宋体"/>
                <w:b w:val="0"/>
                <w:sz w:val="21"/>
                <w:szCs w:val="21"/>
                <w:highlight w:val="none"/>
              </w:rPr>
              <w:t>月</w:t>
            </w:r>
            <w:r>
              <w:rPr>
                <w:rFonts w:hint="eastAsia" w:ascii="宋体" w:hAnsi="宋体" w:cs="宋体"/>
                <w:b w:val="0"/>
                <w:sz w:val="21"/>
                <w:szCs w:val="21"/>
                <w:highlight w:val="none"/>
                <w:lang w:val="en-US" w:eastAsia="zh-CN"/>
              </w:rPr>
              <w:t>3</w:t>
            </w:r>
            <w:r>
              <w:rPr>
                <w:rFonts w:hint="eastAsia" w:ascii="宋体" w:hAnsi="宋体" w:eastAsia="宋体" w:cs="宋体"/>
                <w:b w:val="0"/>
                <w:sz w:val="21"/>
                <w:szCs w:val="21"/>
                <w:highlight w:val="none"/>
                <w:lang w:val="en-US" w:eastAsia="zh-CN"/>
              </w:rPr>
              <w:t>日</w:t>
            </w:r>
            <w:r>
              <w:rPr>
                <w:rFonts w:hint="eastAsia" w:ascii="宋体" w:hAnsi="宋体" w:cs="宋体"/>
                <w:b w:val="0"/>
                <w:sz w:val="21"/>
                <w:szCs w:val="21"/>
                <w:highlight w:val="none"/>
                <w:lang w:val="en-US" w:eastAsia="zh-CN"/>
              </w:rPr>
              <w:t>本</w:t>
            </w:r>
            <w:r>
              <w:rPr>
                <w:rFonts w:hint="eastAsia" w:ascii="宋体" w:hAnsi="宋体" w:eastAsia="宋体" w:cs="宋体"/>
                <w:b w:val="0"/>
                <w:sz w:val="21"/>
                <w:szCs w:val="21"/>
                <w:highlight w:val="none"/>
              </w:rPr>
              <w:t>部门开展环境因素的识别</w:t>
            </w:r>
            <w:r>
              <w:rPr>
                <w:rFonts w:hint="eastAsia" w:ascii="宋体" w:hAnsi="宋体" w:cs="宋体"/>
                <w:b w:val="0"/>
                <w:sz w:val="21"/>
                <w:szCs w:val="21"/>
                <w:highlight w:val="none"/>
                <w:lang w:val="en-US" w:eastAsia="zh-CN"/>
              </w:rPr>
              <w:t>情况</w:t>
            </w:r>
            <w:r>
              <w:rPr>
                <w:rFonts w:hint="eastAsia" w:ascii="宋体" w:hAnsi="宋体" w:eastAsia="宋体" w:cs="宋体"/>
                <w:b w:val="0"/>
                <w:sz w:val="21"/>
                <w:szCs w:val="21"/>
                <w:highlight w:val="none"/>
              </w:rPr>
              <w:t>。</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公司重要环境因素有1）潜在火灾；2）固废排放</w:t>
            </w:r>
            <w:r>
              <w:rPr>
                <w:rFonts w:hint="eastAsia" w:ascii="宋体" w:hAnsi="宋体" w:eastAsia="宋体" w:cs="宋体"/>
                <w:b w:val="0"/>
                <w:sz w:val="21"/>
                <w:szCs w:val="21"/>
                <w:highlight w:val="none"/>
                <w:lang w:eastAsia="zh-CN"/>
              </w:rPr>
              <w:t>；</w:t>
            </w:r>
            <w:r>
              <w:rPr>
                <w:rFonts w:hint="eastAsia" w:ascii="宋体" w:hAnsi="宋体" w:eastAsia="宋体" w:cs="宋体"/>
                <w:b w:val="0"/>
                <w:sz w:val="21"/>
                <w:szCs w:val="21"/>
                <w:highlight w:val="none"/>
                <w:lang w:val="en-US" w:eastAsia="zh-CN"/>
              </w:rPr>
              <w:t>3）噪声排放；4）废气排放；5）化学品泄漏5</w:t>
            </w:r>
            <w:r>
              <w:rPr>
                <w:rFonts w:hint="eastAsia" w:ascii="宋体" w:hAnsi="宋体" w:eastAsia="宋体" w:cs="宋体"/>
                <w:b w:val="0"/>
                <w:sz w:val="21"/>
                <w:szCs w:val="21"/>
                <w:highlight w:val="none"/>
              </w:rPr>
              <w:t>项，识别清楚、准确，评价合理。</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查：</w:t>
            </w:r>
            <w:r>
              <w:rPr>
                <w:rFonts w:hint="eastAsia" w:ascii="宋体" w:hAnsi="宋体" w:eastAsia="宋体" w:cs="宋体"/>
                <w:b w:val="0"/>
                <w:sz w:val="21"/>
                <w:szCs w:val="21"/>
                <w:highlight w:val="none"/>
                <w:lang w:val="en-US" w:eastAsia="zh-CN"/>
              </w:rPr>
              <w:t>生产场所</w:t>
            </w:r>
            <w:r>
              <w:rPr>
                <w:rFonts w:hint="eastAsia" w:ascii="宋体" w:hAnsi="宋体" w:eastAsia="宋体" w:cs="宋体"/>
                <w:b w:val="0"/>
                <w:sz w:val="21"/>
                <w:szCs w:val="21"/>
                <w:highlight w:val="none"/>
              </w:rPr>
              <w:t>的《环境因素评价表》</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lang w:val="en-US" w:eastAsia="zh-CN"/>
              </w:rPr>
              <w:t>1）生产</w:t>
            </w:r>
            <w:r>
              <w:rPr>
                <w:rFonts w:hint="eastAsia" w:ascii="宋体" w:hAnsi="宋体" w:eastAsia="宋体" w:cs="宋体"/>
                <w:b w:val="0"/>
                <w:sz w:val="21"/>
                <w:szCs w:val="21"/>
                <w:highlight w:val="none"/>
              </w:rPr>
              <w:t>现场固废排放；</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cs="宋体"/>
                <w:b w:val="0"/>
                <w:sz w:val="21"/>
                <w:szCs w:val="21"/>
                <w:highlight w:val="none"/>
                <w:lang w:val="en-US" w:eastAsia="zh-CN"/>
              </w:rPr>
              <w:t>2</w:t>
            </w:r>
            <w:r>
              <w:rPr>
                <w:rFonts w:hint="eastAsia" w:ascii="宋体" w:hAnsi="宋体" w:eastAsia="宋体" w:cs="宋体"/>
                <w:b w:val="0"/>
                <w:sz w:val="21"/>
                <w:szCs w:val="21"/>
                <w:highlight w:val="none"/>
                <w:lang w:val="en-US" w:eastAsia="zh-CN"/>
              </w:rPr>
              <w:t>）原料油、成品油化学品泄漏；</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cs="宋体"/>
                <w:b w:val="0"/>
                <w:sz w:val="21"/>
                <w:szCs w:val="21"/>
                <w:highlight w:val="none"/>
                <w:lang w:val="en-US" w:eastAsia="zh-CN"/>
              </w:rPr>
              <w:t>3</w:t>
            </w:r>
            <w:r>
              <w:rPr>
                <w:rFonts w:hint="eastAsia" w:ascii="宋体" w:hAnsi="宋体" w:eastAsia="宋体" w:cs="宋体"/>
                <w:b w:val="0"/>
                <w:sz w:val="21"/>
                <w:szCs w:val="21"/>
                <w:highlight w:val="none"/>
                <w:lang w:val="en-US" w:eastAsia="zh-CN"/>
              </w:rPr>
              <w:t>）设备维修，生产清洁的废含油面纱的排放；</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lang w:val="en-US" w:eastAsia="zh-CN"/>
              </w:rPr>
            </w:pPr>
            <w:r>
              <w:rPr>
                <w:rFonts w:hint="eastAsia" w:ascii="宋体" w:hAnsi="宋体" w:cs="宋体"/>
                <w:b w:val="0"/>
                <w:sz w:val="21"/>
                <w:szCs w:val="21"/>
                <w:highlight w:val="none"/>
                <w:lang w:val="en-US" w:eastAsia="zh-CN"/>
              </w:rPr>
              <w:t>4</w:t>
            </w:r>
            <w:r>
              <w:rPr>
                <w:rFonts w:hint="eastAsia" w:ascii="宋体" w:hAnsi="宋体" w:eastAsia="宋体" w:cs="宋体"/>
                <w:b w:val="0"/>
                <w:sz w:val="21"/>
                <w:szCs w:val="21"/>
                <w:highlight w:val="none"/>
                <w:lang w:val="en-US" w:eastAsia="zh-CN"/>
              </w:rPr>
              <w:t>）废气吸附更换的活性炭；</w:t>
            </w:r>
          </w:p>
          <w:p>
            <w:pPr>
              <w:keepNext w:val="0"/>
              <w:keepLines w:val="0"/>
              <w:pageBreakBefore w:val="0"/>
              <w:kinsoku/>
              <w:wordWrap/>
              <w:overflowPunct/>
              <w:topLinePunct w:val="0"/>
              <w:bidi w:val="0"/>
              <w:spacing w:after="0" w:line="240" w:lineRule="auto"/>
              <w:jc w:val="left"/>
              <w:rPr>
                <w:rFonts w:hint="default" w:ascii="宋体" w:hAnsi="宋体" w:eastAsia="宋体" w:cs="宋体"/>
                <w:b w:val="0"/>
                <w:sz w:val="21"/>
                <w:szCs w:val="21"/>
                <w:highlight w:val="none"/>
                <w:lang w:val="en-US" w:eastAsia="zh-CN"/>
              </w:rPr>
            </w:pPr>
            <w:r>
              <w:rPr>
                <w:rFonts w:hint="eastAsia" w:ascii="宋体" w:hAnsi="宋体" w:cs="宋体"/>
                <w:b w:val="0"/>
                <w:sz w:val="21"/>
                <w:szCs w:val="21"/>
                <w:highlight w:val="none"/>
                <w:lang w:val="en-US" w:eastAsia="zh-CN"/>
              </w:rPr>
              <w:t>5</w:t>
            </w:r>
            <w:r>
              <w:rPr>
                <w:rFonts w:hint="eastAsia" w:ascii="宋体" w:hAnsi="宋体" w:eastAsia="宋体" w:cs="宋体"/>
                <w:b w:val="0"/>
                <w:sz w:val="21"/>
                <w:szCs w:val="21"/>
                <w:highlight w:val="none"/>
                <w:lang w:val="en-US" w:eastAsia="zh-CN"/>
              </w:rPr>
              <w:t>）生产设备运行产生的噪声排放等。</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sz w:val="21"/>
                <w:szCs w:val="21"/>
                <w:highlight w:val="none"/>
              </w:rPr>
            </w:pPr>
            <w:r>
              <w:rPr>
                <w:rFonts w:hint="eastAsia" w:ascii="宋体" w:hAnsi="宋体" w:eastAsia="宋体" w:cs="宋体"/>
                <w:b w:val="0"/>
                <w:sz w:val="21"/>
                <w:szCs w:val="21"/>
                <w:highlight w:val="none"/>
              </w:rPr>
              <w:t>识别基本清楚、全面。</w:t>
            </w:r>
          </w:p>
          <w:p>
            <w:pPr>
              <w:keepNext w:val="0"/>
              <w:keepLines w:val="0"/>
              <w:pageBreakBefore w:val="0"/>
              <w:kinsoku/>
              <w:wordWrap/>
              <w:overflowPunct/>
              <w:topLinePunct w:val="0"/>
              <w:bidi w:val="0"/>
              <w:spacing w:after="0" w:line="240" w:lineRule="auto"/>
              <w:jc w:val="left"/>
              <w:rPr>
                <w:rFonts w:hint="eastAsia" w:ascii="宋体" w:hAnsi="宋体" w:cs="宋体"/>
                <w:b w:val="0"/>
                <w:sz w:val="21"/>
                <w:szCs w:val="21"/>
                <w:highlight w:val="none"/>
                <w:lang w:val="en-US" w:eastAsia="zh-CN"/>
              </w:rPr>
            </w:pPr>
            <w:r>
              <w:rPr>
                <w:rFonts w:hint="eastAsia" w:ascii="宋体" w:hAnsi="宋体" w:eastAsia="宋体" w:cs="宋体"/>
                <w:b w:val="0"/>
                <w:sz w:val="21"/>
                <w:szCs w:val="21"/>
                <w:highlight w:val="none"/>
                <w:lang w:val="en-US" w:eastAsia="zh-CN"/>
              </w:rPr>
              <w:t>问询管理人员</w:t>
            </w:r>
            <w:r>
              <w:rPr>
                <w:rFonts w:hint="eastAsia" w:ascii="宋体" w:hAnsi="宋体" w:cs="宋体"/>
                <w:b w:val="0"/>
                <w:sz w:val="21"/>
                <w:szCs w:val="21"/>
                <w:highlight w:val="none"/>
                <w:lang w:val="en-US" w:eastAsia="zh-CN"/>
              </w:rPr>
              <w:t>基本清楚。</w:t>
            </w:r>
          </w:p>
          <w:p>
            <w:pPr>
              <w:keepNext w:val="0"/>
              <w:keepLines w:val="0"/>
              <w:pageBreakBefore w:val="0"/>
              <w:kinsoku/>
              <w:wordWrap/>
              <w:overflowPunct/>
              <w:topLinePunct w:val="0"/>
              <w:bidi w:val="0"/>
              <w:spacing w:after="0" w:line="240" w:lineRule="auto"/>
              <w:jc w:val="left"/>
              <w:rPr>
                <w:rFonts w:hint="eastAsia" w:ascii="宋体" w:hAnsi="宋体" w:eastAsia="宋体" w:cs="宋体"/>
                <w:b w:val="0"/>
                <w:kern w:val="2"/>
                <w:sz w:val="21"/>
                <w:szCs w:val="21"/>
                <w:highlight w:val="none"/>
                <w:lang w:val="en-US" w:eastAsia="zh-CN" w:bidi="ar-SA"/>
              </w:rPr>
            </w:pPr>
          </w:p>
        </w:tc>
        <w:tc>
          <w:tcPr>
            <w:tcW w:w="1284" w:type="dxa"/>
            <w:vAlign w:val="top"/>
          </w:tcPr>
          <w:p>
            <w:pPr>
              <w:rPr>
                <w:rFonts w:ascii="Times New Roman" w:hAnsi="Times New Roman" w:eastAsia="宋体" w:cs="Times New Roman"/>
                <w:kern w:val="2"/>
                <w:sz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default" w:eastAsia="宋体"/>
                <w:lang w:val="en-US" w:eastAsia="zh-CN"/>
              </w:rPr>
            </w:pPr>
            <w:r>
              <w:rPr>
                <w:rFonts w:hint="eastAsia"/>
                <w:lang w:val="en-US" w:eastAsia="zh-CN"/>
              </w:rPr>
              <w:t>措施的策划</w:t>
            </w:r>
          </w:p>
        </w:tc>
        <w:tc>
          <w:tcPr>
            <w:tcW w:w="960" w:type="dxa"/>
            <w:vAlign w:val="center"/>
          </w:tcPr>
          <w:p>
            <w:pPr>
              <w:rPr>
                <w:rFonts w:hint="default"/>
                <w:lang w:val="en-US" w:eastAsia="zh-CN"/>
              </w:rPr>
            </w:pPr>
            <w:r>
              <w:rPr>
                <w:rFonts w:hint="eastAsia"/>
                <w:lang w:val="en-US" w:eastAsia="zh-CN"/>
              </w:rPr>
              <w:t>E6.1.4</w:t>
            </w:r>
          </w:p>
        </w:tc>
        <w:tc>
          <w:tcPr>
            <w:tcW w:w="10305" w:type="dxa"/>
            <w:vAlign w:val="top"/>
          </w:tcPr>
          <w:p>
            <w:pPr>
              <w:keepNext w:val="0"/>
              <w:keepLines w:val="0"/>
              <w:pageBreakBefore w:val="0"/>
              <w:tabs>
                <w:tab w:val="left" w:pos="1800"/>
              </w:tabs>
              <w:kinsoku/>
              <w:wordWrap/>
              <w:overflowPunct/>
              <w:topLinePunct w:val="0"/>
              <w:bidi w:val="0"/>
              <w:spacing w:after="0" w:line="240" w:lineRule="auto"/>
              <w:ind w:right="15" w:rightChars="7"/>
              <w:jc w:val="left"/>
              <w:rPr>
                <w:rFonts w:hint="eastAsia"/>
              </w:rPr>
            </w:pPr>
            <w:r>
              <w:rPr>
                <w:rFonts w:hint="eastAsia"/>
                <w:lang w:val="en-US" w:eastAsia="zh-CN"/>
              </w:rPr>
              <w:t>公司</w:t>
            </w:r>
            <w:r>
              <w:rPr>
                <w:rFonts w:hint="eastAsia"/>
              </w:rPr>
              <w:t>策划</w:t>
            </w:r>
            <w:r>
              <w:rPr>
                <w:rFonts w:hint="eastAsia"/>
                <w:lang w:val="en-US" w:eastAsia="zh-CN"/>
              </w:rPr>
              <w:t>了</w:t>
            </w:r>
            <w:r>
              <w:rPr>
                <w:rFonts w:hint="eastAsia"/>
              </w:rPr>
              <w:t>环境管理体系中所采取措施，以便管理环境目标、环境因素、合规性义务、</w:t>
            </w:r>
            <w:r>
              <w:rPr>
                <w:rFonts w:hint="eastAsia"/>
                <w:lang w:val="en-US" w:eastAsia="zh-CN"/>
              </w:rPr>
              <w:t>公司</w:t>
            </w:r>
            <w:r>
              <w:rPr>
                <w:rFonts w:hint="eastAsia"/>
              </w:rPr>
              <w:t>识别的风险等。通过合规性评价、目标考核、运行方案、管理评审、内外部沟通等方式以保证管理体系达到预期结果。</w:t>
            </w:r>
          </w:p>
          <w:p>
            <w:pPr>
              <w:pStyle w:val="4"/>
              <w:rPr>
                <w:rFonts w:hint="eastAsia"/>
                <w:lang w:val="en-US" w:eastAsia="zh-CN"/>
              </w:rPr>
            </w:pPr>
            <w:r>
              <w:rPr>
                <w:rFonts w:hint="eastAsia"/>
                <w:lang w:val="en-US" w:eastAsia="zh-CN"/>
              </w:rPr>
              <w:t>提供环境目标指标管理方案</w:t>
            </w:r>
          </w:p>
          <w:p>
            <w:pPr>
              <w:pStyle w:val="4"/>
              <w:rPr>
                <w:rFonts w:hint="eastAsia"/>
                <w:lang w:val="en-US" w:eastAsia="zh-CN"/>
              </w:rPr>
            </w:pPr>
            <w:r>
              <w:rPr>
                <w:rFonts w:hint="eastAsia"/>
                <w:lang w:val="en-US" w:eastAsia="zh-CN"/>
              </w:rPr>
              <w:t>有环境因素5项，目标指标设置、控制措施、责任部门、资金预算、起止日期、完成情况、监督检查人员等内容。</w:t>
            </w:r>
          </w:p>
          <w:p>
            <w:pPr>
              <w:pStyle w:val="4"/>
              <w:rPr>
                <w:rFonts w:hint="default"/>
                <w:lang w:val="en-US" w:eastAsia="zh-CN"/>
              </w:rPr>
            </w:pPr>
            <w:r>
              <w:rPr>
                <w:rFonts w:hint="eastAsia"/>
                <w:lang w:val="en-US" w:eastAsia="zh-CN"/>
              </w:rPr>
              <w:t>对管理方案进行了评价，基本符合要求。</w:t>
            </w:r>
          </w:p>
        </w:tc>
        <w:tc>
          <w:tcPr>
            <w:tcW w:w="1284" w:type="dxa"/>
            <w:vAlign w:val="top"/>
          </w:tcPr>
          <w:p>
            <w:pPr>
              <w:rPr>
                <w:rFonts w:ascii="Times New Roman" w:hAnsi="Times New Roman" w:eastAsia="宋体" w:cs="Times New Roman"/>
                <w:kern w:val="2"/>
                <w:sz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center"/>
          </w:tcPr>
          <w:p>
            <w:pPr>
              <w:rPr>
                <w:rFonts w:hint="default" w:eastAsia="宋体"/>
                <w:lang w:val="en-US" w:eastAsia="zh-CN"/>
              </w:rPr>
            </w:pPr>
            <w:r>
              <w:rPr>
                <w:rFonts w:hint="eastAsia"/>
                <w:lang w:val="en-US" w:eastAsia="zh-CN"/>
              </w:rPr>
              <w:t>基础设施；运作环境</w:t>
            </w:r>
          </w:p>
        </w:tc>
        <w:tc>
          <w:tcPr>
            <w:tcW w:w="960" w:type="dxa"/>
            <w:vAlign w:val="center"/>
          </w:tcPr>
          <w:p>
            <w:pPr>
              <w:rPr>
                <w:rFonts w:hint="default"/>
                <w:lang w:val="en-US" w:eastAsia="zh-CN"/>
              </w:rPr>
            </w:pPr>
            <w:r>
              <w:rPr>
                <w:rFonts w:hint="eastAsia"/>
                <w:lang w:val="en-US" w:eastAsia="zh-CN"/>
              </w:rPr>
              <w:t>Q7.1.3;7.1.4</w:t>
            </w:r>
          </w:p>
        </w:tc>
        <w:tc>
          <w:tcPr>
            <w:tcW w:w="10305" w:type="dxa"/>
            <w:vAlign w:val="top"/>
          </w:tcPr>
          <w:p>
            <w:pPr>
              <w:keepNext w:val="0"/>
              <w:keepLines w:val="0"/>
              <w:pageBreakBefore w:val="0"/>
              <w:tabs>
                <w:tab w:val="left" w:pos="1800"/>
              </w:tabs>
              <w:kinsoku/>
              <w:wordWrap/>
              <w:overflowPunct/>
              <w:topLinePunct w:val="0"/>
              <w:bidi w:val="0"/>
              <w:spacing w:after="0" w:line="240" w:lineRule="auto"/>
              <w:ind w:right="15" w:rightChars="7"/>
              <w:jc w:val="left"/>
              <w:rPr>
                <w:rFonts w:hint="default" w:ascii="宋体" w:hAnsi="宋体" w:eastAsia="宋体" w:cs="宋体"/>
                <w:b w:val="0"/>
                <w:sz w:val="21"/>
                <w:szCs w:val="21"/>
                <w:lang w:val="en-US" w:eastAsia="zh-CN"/>
              </w:rPr>
            </w:pPr>
            <w:r>
              <w:rPr>
                <w:rFonts w:hint="eastAsia" w:ascii="宋体" w:hAnsi="宋体" w:cs="宋体"/>
                <w:b w:val="0"/>
                <w:sz w:val="21"/>
                <w:szCs w:val="21"/>
                <w:lang w:val="en-US" w:eastAsia="zh-CN"/>
              </w:rPr>
              <w:t>该企业的基础设备设施及工作环境与初次审核一致，没有变更。</w:t>
            </w:r>
          </w:p>
        </w:tc>
        <w:tc>
          <w:tcPr>
            <w:tcW w:w="1284" w:type="dxa"/>
            <w:vAlign w:val="top"/>
          </w:tcPr>
          <w:p>
            <w:pP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2160" w:type="dxa"/>
            <w:vAlign w:val="top"/>
          </w:tcPr>
          <w:p>
            <w:pPr>
              <w:spacing w:line="400" w:lineRule="exact"/>
              <w:rPr>
                <w:rFonts w:hint="eastAsia" w:ascii="宋体" w:hAnsi="宋体" w:eastAsia="宋体" w:cs="Times New Roman"/>
                <w:kern w:val="2"/>
                <w:sz w:val="21"/>
                <w:szCs w:val="21"/>
                <w:lang w:val="en-US" w:eastAsia="zh-CN" w:bidi="ar-SA"/>
              </w:rPr>
            </w:pPr>
            <w:r>
              <w:rPr>
                <w:rFonts w:hint="eastAsia" w:ascii="宋体" w:hAnsi="宋体"/>
                <w:szCs w:val="21"/>
              </w:rPr>
              <w:t>测量设备管理</w:t>
            </w:r>
          </w:p>
        </w:tc>
        <w:tc>
          <w:tcPr>
            <w:tcW w:w="960" w:type="dxa"/>
            <w:vAlign w:val="top"/>
          </w:tcPr>
          <w:p>
            <w:pPr>
              <w:adjustRightInd w:val="0"/>
              <w:snapToGrid w:val="0"/>
              <w:jc w:val="both"/>
              <w:rPr>
                <w:rFonts w:hint="default" w:ascii="宋体" w:hAnsi="宋体" w:eastAsia="宋体" w:cs="Times New Roman"/>
                <w:kern w:val="2"/>
                <w:sz w:val="21"/>
                <w:szCs w:val="21"/>
                <w:lang w:val="en-US" w:eastAsia="zh-CN" w:bidi="ar-SA"/>
              </w:rPr>
            </w:pPr>
            <w:r>
              <w:rPr>
                <w:rFonts w:hint="eastAsia" w:ascii="宋体" w:hAnsi="宋体"/>
                <w:szCs w:val="21"/>
                <w:lang w:val="en-US" w:eastAsia="zh-CN"/>
              </w:rPr>
              <w:t>Q</w:t>
            </w:r>
            <w:r>
              <w:rPr>
                <w:rFonts w:hint="eastAsia" w:ascii="宋体" w:hAnsi="宋体"/>
                <w:szCs w:val="21"/>
              </w:rPr>
              <w:t>7.1.5</w:t>
            </w:r>
            <w:r>
              <w:rPr>
                <w:rFonts w:hint="eastAsia" w:ascii="宋体" w:hAnsi="宋体"/>
                <w:szCs w:val="21"/>
                <w:lang w:val="en-US" w:eastAsia="zh-CN"/>
              </w:rPr>
              <w:t>/10.2</w:t>
            </w:r>
          </w:p>
        </w:tc>
        <w:tc>
          <w:tcPr>
            <w:tcW w:w="10305" w:type="dxa"/>
            <w:vAlign w:val="top"/>
          </w:tcPr>
          <w:p>
            <w:pPr>
              <w:adjustRightInd w:val="0"/>
              <w:snapToGrid w:val="0"/>
              <w:spacing w:line="400" w:lineRule="exact"/>
              <w:jc w:val="left"/>
              <w:rPr>
                <w:rFonts w:hint="default"/>
                <w:lang w:val="en-US" w:eastAsia="zh-CN"/>
              </w:rPr>
            </w:pPr>
            <w:r>
              <w:rPr>
                <w:rFonts w:hint="eastAsia"/>
                <w:lang w:val="en-US" w:eastAsia="zh-CN"/>
              </w:rPr>
              <w:t>初次审核该公司的不符合为：查</w:t>
            </w:r>
            <w:r>
              <w:rPr>
                <w:rFonts w:hint="eastAsia"/>
              </w:rPr>
              <w:t>在用检具的检定或校准证书，</w:t>
            </w:r>
            <w:r>
              <w:rPr>
                <w:rFonts w:hint="eastAsia"/>
                <w:lang w:val="en-US" w:eastAsia="zh-CN"/>
              </w:rPr>
              <w:t>未均</w:t>
            </w:r>
            <w:r>
              <w:rPr>
                <w:rFonts w:hint="eastAsia"/>
              </w:rPr>
              <w:t>能提供有效检定或校准证据</w:t>
            </w:r>
            <w:r>
              <w:rPr>
                <w:rFonts w:hint="eastAsia"/>
                <w:lang w:eastAsia="zh-CN"/>
              </w:rPr>
              <w:t>，</w:t>
            </w:r>
            <w:r>
              <w:rPr>
                <w:rFonts w:hint="eastAsia"/>
                <w:lang w:val="en-US" w:eastAsia="zh-CN"/>
              </w:rPr>
              <w:t>本次审核已验证整改，见校验报告</w:t>
            </w:r>
            <w:r>
              <w:rPr>
                <w:rFonts w:hint="eastAsia"/>
              </w:rPr>
              <w:t>。</w:t>
            </w:r>
            <w:r>
              <w:rPr>
                <w:rFonts w:hint="eastAsia"/>
                <w:lang w:val="en-US" w:eastAsia="zh-CN"/>
              </w:rPr>
              <w:t>抽密度计、电动搅拌器、电子天平等校准证书，符合要求。</w:t>
            </w:r>
          </w:p>
          <w:p>
            <w:pPr>
              <w:pStyle w:val="4"/>
            </w:pPr>
            <w:r>
              <w:drawing>
                <wp:inline distT="0" distB="0" distL="114300" distR="114300">
                  <wp:extent cx="1727200" cy="1690370"/>
                  <wp:effectExtent l="0" t="0" r="0"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a:stretch>
                            <a:fillRect/>
                          </a:stretch>
                        </pic:blipFill>
                        <pic:spPr>
                          <a:xfrm>
                            <a:off x="0" y="0"/>
                            <a:ext cx="1727200" cy="1690370"/>
                          </a:xfrm>
                          <a:prstGeom prst="rect">
                            <a:avLst/>
                          </a:prstGeom>
                          <a:noFill/>
                          <a:ln>
                            <a:noFill/>
                          </a:ln>
                        </pic:spPr>
                      </pic:pic>
                    </a:graphicData>
                  </a:graphic>
                </wp:inline>
              </w:drawing>
            </w:r>
            <w:r>
              <w:drawing>
                <wp:inline distT="0" distB="0" distL="114300" distR="114300">
                  <wp:extent cx="1480820" cy="1772285"/>
                  <wp:effectExtent l="0" t="0" r="5080" b="571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7"/>
                          <a:stretch>
                            <a:fillRect/>
                          </a:stretch>
                        </pic:blipFill>
                        <pic:spPr>
                          <a:xfrm>
                            <a:off x="0" y="0"/>
                            <a:ext cx="1480820" cy="17722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30985" cy="1690370"/>
                  <wp:effectExtent l="0" t="0" r="5715" b="11430"/>
                  <wp:docPr id="1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3"/>
                          <pic:cNvPicPr>
                            <a:picLocks noChangeAspect="1"/>
                          </pic:cNvPicPr>
                        </pic:nvPicPr>
                        <pic:blipFill>
                          <a:blip r:embed="rId8"/>
                          <a:stretch>
                            <a:fillRect/>
                          </a:stretch>
                        </pic:blipFill>
                        <pic:spPr>
                          <a:xfrm>
                            <a:off x="0" y="0"/>
                            <a:ext cx="1530985" cy="1690370"/>
                          </a:xfrm>
                          <a:prstGeom prst="rect">
                            <a:avLst/>
                          </a:prstGeom>
                          <a:noFill/>
                          <a:ln>
                            <a:noFill/>
                          </a:ln>
                        </pic:spPr>
                      </pic:pic>
                    </a:graphicData>
                  </a:graphic>
                </wp:inline>
              </w:drawing>
            </w:r>
          </w:p>
          <w:p>
            <w:pPr>
              <w:pStyle w:val="4"/>
              <w:rPr>
                <w:rFonts w:hint="eastAsia" w:eastAsia="宋体"/>
                <w:lang w:val="en-US" w:eastAsia="zh-CN"/>
              </w:rPr>
            </w:pPr>
            <w:r>
              <w:drawing>
                <wp:inline distT="0" distB="0" distL="114300" distR="114300">
                  <wp:extent cx="2400300" cy="1410335"/>
                  <wp:effectExtent l="0" t="0" r="0" b="12065"/>
                  <wp:docPr id="31"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5"/>
                          <pic:cNvPicPr>
                            <a:picLocks noChangeAspect="1"/>
                          </pic:cNvPicPr>
                        </pic:nvPicPr>
                        <pic:blipFill>
                          <a:blip r:embed="rId9"/>
                          <a:stretch>
                            <a:fillRect/>
                          </a:stretch>
                        </pic:blipFill>
                        <pic:spPr>
                          <a:xfrm>
                            <a:off x="0" y="0"/>
                            <a:ext cx="2400300" cy="141033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482850" cy="1435735"/>
                  <wp:effectExtent l="0" t="0" r="6350" b="12065"/>
                  <wp:docPr id="3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16"/>
                          <pic:cNvPicPr>
                            <a:picLocks noChangeAspect="1"/>
                          </pic:cNvPicPr>
                        </pic:nvPicPr>
                        <pic:blipFill>
                          <a:blip r:embed="rId10"/>
                          <a:stretch>
                            <a:fillRect/>
                          </a:stretch>
                        </pic:blipFill>
                        <pic:spPr>
                          <a:xfrm>
                            <a:off x="0" y="0"/>
                            <a:ext cx="2482850" cy="1435735"/>
                          </a:xfrm>
                          <a:prstGeom prst="rect">
                            <a:avLst/>
                          </a:prstGeom>
                          <a:noFill/>
                          <a:ln>
                            <a:noFill/>
                          </a:ln>
                        </pic:spPr>
                      </pic:pic>
                    </a:graphicData>
                  </a:graphic>
                </wp:inline>
              </w:drawing>
            </w:r>
          </w:p>
        </w:tc>
        <w:tc>
          <w:tcPr>
            <w:tcW w:w="1284" w:type="dxa"/>
          </w:tcPr>
          <w:p>
            <w:pPr>
              <w:rPr>
                <w:rFonts w:hint="eastAsia"/>
                <w:lang w:val="en-US" w:eastAsia="zh-CN"/>
              </w:rPr>
            </w:pPr>
          </w:p>
          <w:p>
            <w:pPr>
              <w:rPr>
                <w:rFonts w:hint="eastAsia"/>
                <w:lang w:val="en-US" w:eastAsia="zh-CN"/>
              </w:rPr>
            </w:pPr>
          </w:p>
          <w:p>
            <w:pPr>
              <w:rPr>
                <w:rFonts w:hint="eastAsia"/>
                <w:lang w:val="en-US" w:eastAsia="zh-CN"/>
              </w:rPr>
            </w:pPr>
          </w:p>
          <w:p>
            <w:pPr>
              <w:rPr>
                <w:rFonts w:hint="eastAsia" w:eastAsia="宋体"/>
                <w:lang w:val="en-US" w:eastAsia="zh-CN"/>
              </w:rPr>
            </w:pPr>
            <w:r>
              <w:rPr>
                <w:rFonts w:hint="eastAsia"/>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4" w:hRule="atLeast"/>
        </w:trPr>
        <w:tc>
          <w:tcPr>
            <w:tcW w:w="2160" w:type="dxa"/>
            <w:vAlign w:val="top"/>
          </w:tcPr>
          <w:p>
            <w:pPr>
              <w:spacing w:line="400" w:lineRule="exact"/>
              <w:rPr>
                <w:rFonts w:ascii="宋体" w:hAnsi="宋体" w:eastAsia="宋体" w:cs="Times New Roman"/>
                <w:kern w:val="2"/>
                <w:sz w:val="21"/>
                <w:szCs w:val="21"/>
                <w:lang w:val="en-US" w:eastAsia="zh-CN" w:bidi="ar-SA"/>
              </w:rPr>
            </w:pPr>
            <w:r>
              <w:rPr>
                <w:rFonts w:hint="eastAsia" w:ascii="宋体" w:hAnsi="宋体"/>
                <w:szCs w:val="21"/>
              </w:rPr>
              <w:t>运行策划和控制</w:t>
            </w:r>
          </w:p>
        </w:tc>
        <w:tc>
          <w:tcPr>
            <w:tcW w:w="960" w:type="dxa"/>
            <w:vAlign w:val="top"/>
          </w:tcPr>
          <w:p>
            <w:pPr>
              <w:adjustRightInd w:val="0"/>
              <w:snapToGrid w:val="0"/>
              <w:jc w:val="both"/>
              <w:rPr>
                <w:rFonts w:ascii="宋体" w:hAnsi="宋体" w:eastAsia="宋体" w:cs="Times New Roman"/>
                <w:kern w:val="2"/>
                <w:sz w:val="21"/>
                <w:szCs w:val="21"/>
                <w:lang w:val="en-US" w:eastAsia="zh-CN" w:bidi="ar-SA"/>
              </w:rPr>
            </w:pPr>
            <w:r>
              <w:rPr>
                <w:rFonts w:hint="eastAsia" w:ascii="宋体" w:hAnsi="宋体"/>
                <w:szCs w:val="21"/>
                <w:lang w:val="en-US" w:eastAsia="zh-CN"/>
              </w:rPr>
              <w:t>Q</w:t>
            </w:r>
            <w:r>
              <w:rPr>
                <w:rFonts w:hint="eastAsia" w:ascii="宋体" w:hAnsi="宋体"/>
                <w:szCs w:val="21"/>
              </w:rPr>
              <w:t>8.1</w:t>
            </w:r>
          </w:p>
        </w:tc>
        <w:tc>
          <w:tcPr>
            <w:tcW w:w="10305" w:type="dxa"/>
            <w:vAlign w:val="top"/>
          </w:tcPr>
          <w:p>
            <w:pPr>
              <w:adjustRightInd w:val="0"/>
              <w:snapToGrid w:val="0"/>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公司主要产品：</w:t>
            </w:r>
            <w:r>
              <w:rPr>
                <w:rFonts w:hint="eastAsia" w:ascii="宋体" w:hAnsi="宋体" w:cs="宋体"/>
                <w:color w:val="auto"/>
                <w:szCs w:val="21"/>
                <w:lang w:val="en-US" w:eastAsia="zh-CN"/>
              </w:rPr>
              <w:t>润滑油</w:t>
            </w:r>
            <w:r>
              <w:rPr>
                <w:rFonts w:hint="eastAsia" w:ascii="宋体" w:hAnsi="宋体" w:cs="宋体"/>
                <w:color w:val="auto"/>
                <w:szCs w:val="21"/>
                <w:lang w:eastAsia="zh-CN"/>
              </w:rPr>
              <w:t>的生产</w:t>
            </w:r>
            <w:r>
              <w:rPr>
                <w:rFonts w:hint="eastAsia" w:ascii="宋体" w:hAnsi="宋体" w:cs="宋体"/>
                <w:color w:val="auto"/>
                <w:szCs w:val="21"/>
              </w:rPr>
              <w:t>。</w:t>
            </w:r>
          </w:p>
          <w:p>
            <w:pPr>
              <w:adjustRightInd w:val="0"/>
              <w:snapToGrid w:val="0"/>
              <w:spacing w:line="400" w:lineRule="exact"/>
              <w:ind w:firstLine="420" w:firstLineChars="200"/>
              <w:jc w:val="left"/>
              <w:rPr>
                <w:rFonts w:ascii="宋体" w:hAnsi="宋体" w:cs="宋体"/>
                <w:color w:val="auto"/>
                <w:szCs w:val="21"/>
              </w:rPr>
            </w:pPr>
            <w:r>
              <w:rPr>
                <w:rFonts w:hint="eastAsia" w:ascii="宋体" w:hAnsi="宋体" w:cs="宋体"/>
                <w:color w:val="auto"/>
                <w:szCs w:val="21"/>
              </w:rPr>
              <w:t>公司产品执行标准主要为：</w:t>
            </w:r>
            <w:r>
              <w:rPr>
                <w:rFonts w:hint="eastAsia" w:ascii="宋体" w:hAnsi="宋体" w:cs="宋体"/>
                <w:color w:val="auto"/>
                <w:szCs w:val="21"/>
                <w:lang w:val="en-US" w:eastAsia="zh-CN"/>
              </w:rPr>
              <w:t>企业标准Q_YDBR 001-2020冷镦成型油企业标准和顾客要求等</w:t>
            </w:r>
            <w:r>
              <w:rPr>
                <w:rFonts w:hint="eastAsia" w:ascii="宋体" w:hAnsi="宋体" w:cs="宋体"/>
                <w:color w:val="auto"/>
                <w:szCs w:val="21"/>
              </w:rPr>
              <w:t>。</w:t>
            </w:r>
          </w:p>
          <w:p>
            <w:pPr>
              <w:adjustRightInd w:val="0"/>
              <w:snapToGrid w:val="0"/>
              <w:spacing w:line="400" w:lineRule="exact"/>
              <w:ind w:firstLine="420" w:firstLineChars="200"/>
              <w:jc w:val="left"/>
              <w:rPr>
                <w:rFonts w:ascii="宋体" w:hAnsi="宋体" w:cs="宋体"/>
                <w:color w:val="auto"/>
                <w:szCs w:val="21"/>
              </w:rPr>
            </w:pPr>
            <w:r>
              <w:rPr>
                <w:rFonts w:hint="eastAsia" w:ascii="宋体" w:hAnsi="宋体" w:cs="宋体"/>
                <w:color w:val="auto"/>
                <w:szCs w:val="21"/>
                <w:lang w:eastAsia="zh-CN"/>
              </w:rPr>
              <w:t>生技部</w:t>
            </w:r>
            <w:r>
              <w:rPr>
                <w:rFonts w:hint="eastAsia" w:ascii="宋体" w:hAnsi="宋体" w:cs="宋体"/>
                <w:color w:val="auto"/>
                <w:szCs w:val="21"/>
              </w:rPr>
              <w:t>负责产品实现和服务提供的策划，策划输出的具体结果包括以下内容：</w:t>
            </w:r>
          </w:p>
          <w:p>
            <w:pPr>
              <w:adjustRightInd w:val="0"/>
              <w:snapToGrid w:val="0"/>
              <w:spacing w:line="400" w:lineRule="exact"/>
              <w:ind w:firstLine="420" w:firstLineChars="200"/>
              <w:jc w:val="left"/>
              <w:rPr>
                <w:rFonts w:hint="default" w:ascii="宋体" w:hAnsi="宋体" w:eastAsia="宋体" w:cs="宋体"/>
                <w:color w:val="auto"/>
                <w:szCs w:val="21"/>
                <w:lang w:val="en-US" w:eastAsia="zh-CN"/>
              </w:rPr>
            </w:pPr>
            <w:r>
              <w:rPr>
                <w:rFonts w:hint="eastAsia" w:ascii="宋体" w:hAnsi="宋体" w:cs="宋体"/>
                <w:color w:val="auto"/>
                <w:szCs w:val="21"/>
              </w:rPr>
              <w:t>a）确定产品和服务的要求；--产品标准</w:t>
            </w:r>
            <w:r>
              <w:rPr>
                <w:rFonts w:hint="eastAsia" w:ascii="宋体" w:hAnsi="宋体" w:cs="宋体"/>
                <w:color w:val="auto"/>
                <w:szCs w:val="21"/>
                <w:lang w:eastAsia="zh-CN"/>
              </w:rPr>
              <w:t>、</w:t>
            </w:r>
            <w:r>
              <w:rPr>
                <w:rFonts w:hint="eastAsia" w:ascii="宋体" w:hAnsi="宋体" w:cs="宋体"/>
                <w:color w:val="auto"/>
                <w:szCs w:val="21"/>
                <w:lang w:val="en-US" w:eastAsia="zh-CN"/>
              </w:rPr>
              <w:t>顾客要求</w:t>
            </w:r>
          </w:p>
          <w:p>
            <w:pPr>
              <w:adjustRightInd w:val="0"/>
              <w:snapToGrid w:val="0"/>
              <w:spacing w:line="400" w:lineRule="exact"/>
              <w:ind w:firstLine="420" w:firstLineChars="200"/>
              <w:jc w:val="left"/>
              <w:rPr>
                <w:rFonts w:ascii="宋体" w:hAnsi="宋体" w:cs="宋体"/>
                <w:color w:val="auto"/>
                <w:szCs w:val="21"/>
              </w:rPr>
            </w:pPr>
            <w:r>
              <w:rPr>
                <w:rFonts w:hint="eastAsia" w:ascii="宋体" w:hAnsi="宋体" w:cs="宋体"/>
                <w:color w:val="auto"/>
                <w:szCs w:val="21"/>
              </w:rPr>
              <w:t>b）建立过程准则以及产品和服务的接收准则；---检验标准、作业指导书</w:t>
            </w:r>
          </w:p>
          <w:p>
            <w:pPr>
              <w:adjustRightInd w:val="0"/>
              <w:snapToGrid w:val="0"/>
              <w:spacing w:line="400" w:lineRule="exact"/>
              <w:ind w:firstLine="420" w:firstLineChars="200"/>
              <w:jc w:val="left"/>
              <w:rPr>
                <w:rFonts w:ascii="宋体" w:hAnsi="宋体" w:cs="宋体"/>
                <w:color w:val="auto"/>
                <w:szCs w:val="21"/>
              </w:rPr>
            </w:pPr>
            <w:r>
              <w:rPr>
                <w:rFonts w:hint="eastAsia" w:ascii="宋体" w:hAnsi="宋体" w:cs="宋体"/>
                <w:color w:val="auto"/>
                <w:szCs w:val="21"/>
              </w:rPr>
              <w:t>c）确定符合产品和服务要求的资源；---工艺流程图</w:t>
            </w:r>
          </w:p>
          <w:p>
            <w:pPr>
              <w:adjustRightInd w:val="0"/>
              <w:snapToGrid w:val="0"/>
              <w:spacing w:line="400" w:lineRule="exact"/>
              <w:ind w:firstLine="420" w:firstLineChars="200"/>
              <w:jc w:val="left"/>
              <w:rPr>
                <w:rFonts w:ascii="宋体" w:hAnsi="宋体" w:cs="宋体"/>
                <w:color w:val="auto"/>
                <w:szCs w:val="21"/>
              </w:rPr>
            </w:pPr>
            <w:r>
              <w:rPr>
                <w:rFonts w:hint="eastAsia" w:ascii="宋体" w:hAnsi="宋体" w:cs="宋体"/>
                <w:color w:val="auto"/>
                <w:szCs w:val="21"/>
              </w:rPr>
              <w:t>d）按照准则实施过程控制；---生产和服务过程监控</w:t>
            </w:r>
          </w:p>
          <w:p>
            <w:pPr>
              <w:adjustRightInd w:val="0"/>
              <w:snapToGrid w:val="0"/>
              <w:spacing w:line="400" w:lineRule="exact"/>
              <w:ind w:firstLine="420" w:firstLineChars="200"/>
              <w:jc w:val="left"/>
              <w:rPr>
                <w:rFonts w:ascii="宋体" w:hAnsi="宋体" w:cs="宋体"/>
                <w:color w:val="auto"/>
                <w:szCs w:val="21"/>
              </w:rPr>
            </w:pPr>
            <w:r>
              <w:rPr>
                <w:rFonts w:hint="eastAsia" w:ascii="宋体" w:hAnsi="宋体" w:cs="宋体"/>
                <w:color w:val="auto"/>
                <w:szCs w:val="21"/>
              </w:rPr>
              <w:t>e）保持、保留必要的文件和记录。---文件和质量记录</w:t>
            </w:r>
          </w:p>
          <w:p>
            <w:pPr>
              <w:adjustRightInd w:val="0"/>
              <w:snapToGrid w:val="0"/>
              <w:spacing w:line="400" w:lineRule="exact"/>
              <w:ind w:firstLine="420" w:firstLineChars="200"/>
              <w:jc w:val="left"/>
              <w:rPr>
                <w:rFonts w:ascii="宋体" w:hAnsi="宋体" w:cs="宋体"/>
                <w:color w:val="auto"/>
                <w:szCs w:val="21"/>
              </w:rPr>
            </w:pPr>
            <w:r>
              <w:rPr>
                <w:rFonts w:hint="eastAsia" w:ascii="宋体" w:hAnsi="宋体" w:cs="宋体"/>
                <w:color w:val="auto"/>
                <w:szCs w:val="21"/>
              </w:rPr>
              <w:t>---策划输出经过评审及跟进、必要的更改控制及批准等以适合组织的运行需要。</w:t>
            </w:r>
          </w:p>
          <w:p>
            <w:pPr>
              <w:adjustRightInd w:val="0"/>
              <w:snapToGrid w:val="0"/>
              <w:spacing w:line="400" w:lineRule="exact"/>
              <w:ind w:firstLine="420" w:firstLineChars="200"/>
              <w:jc w:val="left"/>
              <w:rPr>
                <w:rFonts w:hint="eastAsia" w:ascii="宋体" w:hAnsi="宋体" w:eastAsia="宋体" w:cs="宋体"/>
                <w:color w:val="auto"/>
                <w:szCs w:val="21"/>
                <w:lang w:eastAsia="zh-CN"/>
              </w:rPr>
            </w:pPr>
            <w:r>
              <w:rPr>
                <w:rFonts w:hint="eastAsia" w:ascii="宋体" w:hAnsi="宋体" w:cs="宋体"/>
                <w:color w:val="auto"/>
                <w:szCs w:val="21"/>
              </w:rPr>
              <w:t>----需确认/特殊过程：</w:t>
            </w:r>
            <w:r>
              <w:rPr>
                <w:rFonts w:hint="eastAsia" w:ascii="宋体" w:hAnsi="宋体" w:cs="宋体"/>
                <w:color w:val="auto"/>
                <w:szCs w:val="21"/>
                <w:lang w:val="en-US" w:eastAsia="zh-CN"/>
              </w:rPr>
              <w:t>搅拌过程</w:t>
            </w:r>
          </w:p>
          <w:p>
            <w:pPr>
              <w:adjustRightInd w:val="0"/>
              <w:snapToGrid w:val="0"/>
              <w:spacing w:line="400" w:lineRule="exact"/>
              <w:ind w:firstLine="420" w:firstLineChars="200"/>
              <w:jc w:val="left"/>
              <w:rPr>
                <w:rFonts w:hint="default" w:ascii="宋体" w:hAnsi="宋体" w:eastAsia="宋体" w:cs="宋体"/>
                <w:color w:val="auto"/>
                <w:szCs w:val="21"/>
                <w:lang w:val="en-US" w:eastAsia="zh-CN"/>
              </w:rPr>
            </w:pPr>
            <w:r>
              <w:rPr>
                <w:rFonts w:hint="eastAsia" w:ascii="宋体" w:hAnsi="宋体" w:cs="宋体"/>
                <w:color w:val="auto"/>
                <w:szCs w:val="21"/>
              </w:rPr>
              <w:t>----外包过程：</w:t>
            </w:r>
            <w:r>
              <w:rPr>
                <w:rFonts w:hint="eastAsia" w:ascii="宋体" w:hAnsi="宋体" w:cs="宋体"/>
                <w:color w:val="auto"/>
                <w:szCs w:val="21"/>
                <w:lang w:val="en-US" w:eastAsia="zh-CN"/>
              </w:rPr>
              <w:t>无</w:t>
            </w:r>
          </w:p>
          <w:p>
            <w:pPr>
              <w:adjustRightInd w:val="0"/>
              <w:snapToGrid w:val="0"/>
              <w:spacing w:line="400" w:lineRule="exact"/>
              <w:ind w:firstLine="420" w:firstLineChars="200"/>
              <w:jc w:val="left"/>
              <w:rPr>
                <w:rFonts w:ascii="宋体" w:hAnsi="宋体" w:eastAsia="宋体" w:cs="宋体"/>
                <w:color w:val="auto"/>
                <w:kern w:val="2"/>
                <w:sz w:val="21"/>
                <w:szCs w:val="21"/>
                <w:lang w:val="en-US" w:eastAsia="zh-CN" w:bidi="ar-SA"/>
              </w:rPr>
            </w:pPr>
            <w:r>
              <w:rPr>
                <w:rFonts w:hint="eastAsia" w:ascii="宋体" w:hAnsi="宋体" w:cs="宋体"/>
                <w:color w:val="auto"/>
                <w:szCs w:val="21"/>
              </w:rPr>
              <w:t>----经确认：暂无策划的更改。</w:t>
            </w:r>
          </w:p>
        </w:tc>
        <w:tc>
          <w:tcPr>
            <w:tcW w:w="1284" w:type="dxa"/>
            <w:vAlign w:val="top"/>
          </w:tcPr>
          <w:p>
            <w:pPr>
              <w:rPr>
                <w:rFonts w:ascii="Times New Roman" w:hAnsi="Times New Roman" w:eastAsia="宋体" w:cs="Times New Roman"/>
                <w:kern w:val="2"/>
                <w:sz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2160" w:type="dxa"/>
            <w:vAlign w:val="top"/>
          </w:tcPr>
          <w:p>
            <w:pPr>
              <w:spacing w:line="400" w:lineRule="exact"/>
              <w:rPr>
                <w:rFonts w:ascii="宋体" w:hAnsi="宋体" w:eastAsia="宋体" w:cs="Times New Roman"/>
                <w:kern w:val="2"/>
                <w:sz w:val="21"/>
                <w:szCs w:val="21"/>
                <w:lang w:val="en-US" w:eastAsia="zh-CN" w:bidi="ar-SA"/>
              </w:rPr>
            </w:pPr>
            <w:r>
              <w:rPr>
                <w:rFonts w:hint="eastAsia" w:ascii="宋体" w:hAnsi="宋体"/>
                <w:szCs w:val="21"/>
              </w:rPr>
              <w:t>设计和开发策划</w:t>
            </w:r>
          </w:p>
        </w:tc>
        <w:tc>
          <w:tcPr>
            <w:tcW w:w="960" w:type="dxa"/>
            <w:vAlign w:val="top"/>
          </w:tcPr>
          <w:p>
            <w:pPr>
              <w:adjustRightInd w:val="0"/>
              <w:snapToGrid w:val="0"/>
              <w:jc w:val="both"/>
              <w:rPr>
                <w:rFonts w:ascii="宋体" w:hAnsi="宋体" w:eastAsia="宋体" w:cs="Times New Roman"/>
                <w:kern w:val="2"/>
                <w:sz w:val="21"/>
                <w:szCs w:val="21"/>
                <w:lang w:val="en-US" w:eastAsia="zh-CN" w:bidi="ar-SA"/>
              </w:rPr>
            </w:pPr>
            <w:r>
              <w:rPr>
                <w:rFonts w:hint="eastAsia" w:ascii="宋体" w:hAnsi="宋体"/>
                <w:szCs w:val="21"/>
                <w:lang w:val="en-US" w:eastAsia="zh-CN"/>
              </w:rPr>
              <w:t>Q</w:t>
            </w:r>
            <w:r>
              <w:rPr>
                <w:rFonts w:hint="eastAsia" w:ascii="宋体" w:hAnsi="宋体"/>
                <w:szCs w:val="21"/>
              </w:rPr>
              <w:t>8.3</w:t>
            </w:r>
          </w:p>
        </w:tc>
        <w:tc>
          <w:tcPr>
            <w:tcW w:w="10305" w:type="dxa"/>
            <w:vAlign w:val="top"/>
          </w:tcPr>
          <w:p>
            <w:pPr>
              <w:adjustRightInd w:val="0"/>
              <w:snapToGrid w:val="0"/>
              <w:spacing w:line="400" w:lineRule="exact"/>
              <w:jc w:val="left"/>
              <w:rPr>
                <w:rFonts w:hint="eastAsia"/>
                <w:lang w:eastAsia="zh-CN"/>
              </w:rPr>
            </w:pPr>
            <w:r>
              <w:rPr>
                <w:rFonts w:hint="eastAsia"/>
              </w:rPr>
              <w:t>公司</w:t>
            </w:r>
            <w:r>
              <w:rPr>
                <w:rFonts w:hint="eastAsia"/>
                <w:lang w:val="en-US" w:eastAsia="zh-CN"/>
              </w:rPr>
              <w:t>2022年未有新产品开发，</w:t>
            </w:r>
            <w:r>
              <w:rPr>
                <w:rFonts w:hint="eastAsia"/>
              </w:rPr>
              <w:t>产品</w:t>
            </w:r>
            <w:r>
              <w:rPr>
                <w:rFonts w:hint="eastAsia"/>
                <w:lang w:val="en-US" w:eastAsia="zh-CN"/>
              </w:rPr>
              <w:t>和服务</w:t>
            </w:r>
            <w:r>
              <w:rPr>
                <w:rFonts w:hint="eastAsia"/>
              </w:rPr>
              <w:t>均按相关标准及客户技术要求、规范进行生产</w:t>
            </w:r>
            <w:r>
              <w:rPr>
                <w:rFonts w:hint="eastAsia"/>
                <w:lang w:eastAsia="zh-CN"/>
              </w:rPr>
              <w:t>。</w:t>
            </w:r>
          </w:p>
          <w:p>
            <w:pPr>
              <w:pStyle w:val="4"/>
              <w:rPr>
                <w:rFonts w:hint="eastAsia"/>
                <w:lang w:val="en-US" w:eastAsia="zh-CN"/>
              </w:rPr>
            </w:pPr>
          </w:p>
        </w:tc>
        <w:tc>
          <w:tcPr>
            <w:tcW w:w="1284" w:type="dxa"/>
            <w:vAlign w:val="top"/>
          </w:tcPr>
          <w:p>
            <w:pP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6" w:hRule="atLeast"/>
        </w:trPr>
        <w:tc>
          <w:tcPr>
            <w:tcW w:w="2160" w:type="dxa"/>
          </w:tcPr>
          <w:p>
            <w:pPr>
              <w:adjustRightInd w:val="0"/>
              <w:snapToGrid w:val="0"/>
              <w:jc w:val="center"/>
              <w:rPr>
                <w:rFonts w:ascii="宋体" w:hAnsi="宋体"/>
                <w:b/>
                <w:szCs w:val="21"/>
              </w:rPr>
            </w:pPr>
            <w:r>
              <w:rPr>
                <w:rFonts w:hint="eastAsia" w:ascii="宋体" w:hAnsi="宋体"/>
                <w:szCs w:val="21"/>
              </w:rPr>
              <w:t>生产和服务提供的控制</w:t>
            </w:r>
          </w:p>
        </w:tc>
        <w:tc>
          <w:tcPr>
            <w:tcW w:w="960" w:type="dxa"/>
          </w:tcPr>
          <w:p>
            <w:pPr>
              <w:spacing w:line="400" w:lineRule="exact"/>
              <w:jc w:val="left"/>
              <w:rPr>
                <w:rFonts w:ascii="宋体" w:hAnsi="宋体"/>
                <w:szCs w:val="21"/>
              </w:rPr>
            </w:pPr>
            <w:r>
              <w:rPr>
                <w:rFonts w:hint="eastAsia" w:ascii="宋体" w:hAnsi="宋体"/>
                <w:szCs w:val="21"/>
                <w:lang w:val="en-US" w:eastAsia="zh-CN"/>
              </w:rPr>
              <w:t>Q</w:t>
            </w:r>
            <w:r>
              <w:rPr>
                <w:rFonts w:hint="eastAsia" w:ascii="宋体" w:hAnsi="宋体"/>
                <w:szCs w:val="21"/>
              </w:rPr>
              <w:t>8.5.1</w:t>
            </w:r>
          </w:p>
          <w:p>
            <w:pPr>
              <w:rPr>
                <w:rFonts w:ascii="宋体" w:hAnsi="宋体" w:cs="宋体"/>
                <w:b/>
                <w:szCs w:val="21"/>
              </w:rPr>
            </w:pPr>
          </w:p>
        </w:tc>
        <w:tc>
          <w:tcPr>
            <w:tcW w:w="10305" w:type="dxa"/>
          </w:tcPr>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0000FF"/>
                <w:szCs w:val="21"/>
              </w:rPr>
            </w:pPr>
            <w:r>
              <w:rPr>
                <w:rFonts w:hint="eastAsia" w:ascii="宋体" w:hAnsi="宋体" w:cs="宋体"/>
                <w:color w:val="auto"/>
                <w:szCs w:val="21"/>
              </w:rPr>
              <w:t>公司制定了《生产和服务提供控制程序》明确了受控条件包括：规定产品/服务/活动的特征以及拟获得结果的文件；获得适宜的监视和测量资源；适当阶段实施监视和测量活动；为过程提供适宜的设施环境；配备备能力人员所要求的资格；特殊过程的确认和定期再确认；采取措施防止人为错误；实施放行、交付和交付后活动。</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0000FF"/>
                <w:szCs w:val="21"/>
              </w:rPr>
            </w:pPr>
            <w:r>
              <w:rPr>
                <w:rFonts w:hint="eastAsia" w:ascii="宋体" w:hAnsi="宋体" w:cs="宋体"/>
                <w:color w:val="auto"/>
                <w:szCs w:val="21"/>
              </w:rPr>
              <w:t>查生产车间及作业工位执行的作业指导书主要包括：</w:t>
            </w:r>
            <w:r>
              <w:rPr>
                <w:rFonts w:hint="eastAsia" w:ascii="宋体" w:hAnsi="宋体" w:cs="宋体"/>
                <w:color w:val="auto"/>
                <w:szCs w:val="21"/>
                <w:lang w:val="en-US" w:eastAsia="zh-CN"/>
              </w:rPr>
              <w:t>灌装机操作流程，油品调和流程等</w:t>
            </w:r>
            <w:r>
              <w:rPr>
                <w:rFonts w:hint="eastAsia" w:ascii="宋体" w:hAnsi="宋体" w:cs="宋体"/>
                <w:color w:val="0000FF"/>
                <w:szCs w:val="21"/>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default" w:ascii="宋体" w:hAnsi="宋体" w:eastAsia="宋体" w:cs="宋体"/>
                <w:color w:val="auto"/>
                <w:szCs w:val="21"/>
                <w:lang w:val="en-US" w:eastAsia="zh-CN"/>
              </w:rPr>
            </w:pPr>
            <w:r>
              <w:rPr>
                <w:rFonts w:hint="eastAsia" w:ascii="宋体" w:hAnsi="宋体" w:cs="宋体"/>
                <w:color w:val="auto"/>
                <w:szCs w:val="21"/>
              </w:rPr>
              <w:t>现场查看：现场有</w:t>
            </w:r>
            <w:r>
              <w:rPr>
                <w:rFonts w:hint="eastAsia" w:ascii="宋体" w:hAnsi="宋体" w:eastAsia="宋体" w:cs="宋体"/>
                <w:b w:val="0"/>
                <w:color w:val="auto"/>
                <w:sz w:val="21"/>
                <w:szCs w:val="21"/>
                <w:lang w:val="en-US" w:eastAsia="zh-CN"/>
              </w:rPr>
              <w:t>搅拌罐、储油罐、油泵、灌装机、分散机</w:t>
            </w:r>
            <w:r>
              <w:rPr>
                <w:rFonts w:hint="eastAsia" w:ascii="宋体" w:hAnsi="宋体" w:cs="宋体"/>
                <w:color w:val="auto"/>
                <w:szCs w:val="21"/>
              </w:rPr>
              <w:t>等生产相关设备，工作正常，状态良好，无异常现象，符合产品的生产的条件及要求。辅助设备有叉车</w:t>
            </w:r>
            <w:r>
              <w:rPr>
                <w:rFonts w:hint="eastAsia" w:ascii="宋体" w:hAnsi="宋体" w:cs="宋体"/>
                <w:color w:val="auto"/>
                <w:szCs w:val="21"/>
                <w:lang w:eastAsia="zh-CN"/>
              </w:rPr>
              <w:t>，</w:t>
            </w:r>
            <w:r>
              <w:rPr>
                <w:rFonts w:hint="eastAsia" w:ascii="宋体" w:hAnsi="宋体" w:cs="宋体"/>
                <w:color w:val="auto"/>
                <w:szCs w:val="21"/>
              </w:rPr>
              <w:t>按期进行了年检，有效，具体见附件。</w:t>
            </w:r>
            <w:r>
              <w:rPr>
                <w:rFonts w:hint="eastAsia" w:ascii="宋体" w:hAnsi="宋体" w:cs="宋体"/>
                <w:color w:val="auto"/>
                <w:szCs w:val="21"/>
                <w:lang w:val="en-US" w:eastAsia="zh-CN"/>
              </w:rPr>
              <w:t>叉车员有叉车证。</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公司配置了相应的检测设备，主要为运动粘度测定器</w:t>
            </w:r>
            <w:r>
              <w:rPr>
                <w:rFonts w:hint="eastAsia" w:ascii="宋体" w:hAnsi="宋体" w:cs="宋体"/>
                <w:color w:val="auto"/>
                <w:szCs w:val="21"/>
                <w:lang w:eastAsia="zh-CN"/>
              </w:rPr>
              <w:t>、</w:t>
            </w:r>
            <w:r>
              <w:rPr>
                <w:rFonts w:hint="eastAsia" w:ascii="宋体" w:hAnsi="宋体" w:cs="宋体"/>
                <w:color w:val="auto"/>
                <w:szCs w:val="21"/>
              </w:rPr>
              <w:t>克利夫兰开口闪点测试验器</w:t>
            </w:r>
            <w:r>
              <w:rPr>
                <w:rFonts w:hint="eastAsia" w:ascii="宋体" w:hAnsi="宋体" w:cs="宋体"/>
                <w:color w:val="auto"/>
                <w:szCs w:val="21"/>
                <w:lang w:eastAsia="zh-CN"/>
              </w:rPr>
              <w:t>、</w:t>
            </w:r>
            <w:r>
              <w:rPr>
                <w:rFonts w:hint="eastAsia" w:ascii="宋体" w:hAnsi="宋体" w:cs="宋体"/>
                <w:color w:val="auto"/>
                <w:szCs w:val="21"/>
              </w:rPr>
              <w:t>微型水分测定仪</w:t>
            </w:r>
            <w:r>
              <w:rPr>
                <w:rFonts w:hint="eastAsia" w:ascii="宋体" w:hAnsi="宋体" w:cs="宋体"/>
                <w:color w:val="auto"/>
                <w:szCs w:val="21"/>
                <w:lang w:eastAsia="zh-CN"/>
              </w:rPr>
              <w:t>、</w:t>
            </w:r>
            <w:r>
              <w:rPr>
                <w:rFonts w:hint="eastAsia" w:ascii="宋体" w:hAnsi="宋体" w:cs="宋体"/>
                <w:color w:val="auto"/>
                <w:szCs w:val="21"/>
              </w:rPr>
              <w:t>全自动酸值测定仪</w:t>
            </w:r>
            <w:r>
              <w:rPr>
                <w:rFonts w:hint="eastAsia" w:ascii="宋体" w:hAnsi="宋体" w:cs="宋体"/>
                <w:color w:val="auto"/>
                <w:szCs w:val="21"/>
                <w:lang w:eastAsia="zh-CN"/>
              </w:rPr>
              <w:t>、</w:t>
            </w:r>
            <w:r>
              <w:rPr>
                <w:rFonts w:hint="eastAsia" w:ascii="宋体" w:hAnsi="宋体" w:cs="宋体"/>
                <w:color w:val="auto"/>
                <w:szCs w:val="21"/>
              </w:rPr>
              <w:t>石油产品凝点试验器</w:t>
            </w:r>
            <w:r>
              <w:rPr>
                <w:rFonts w:hint="eastAsia" w:ascii="宋体" w:hAnsi="宋体" w:cs="宋体"/>
                <w:color w:val="auto"/>
                <w:szCs w:val="21"/>
                <w:lang w:eastAsia="zh-CN"/>
              </w:rPr>
              <w:t>、</w:t>
            </w:r>
            <w:r>
              <w:rPr>
                <w:rFonts w:hint="eastAsia" w:ascii="宋体" w:hAnsi="宋体" w:cs="宋体"/>
                <w:color w:val="auto"/>
                <w:szCs w:val="21"/>
              </w:rPr>
              <w:t>石油产品色度测定器</w:t>
            </w:r>
            <w:r>
              <w:rPr>
                <w:rFonts w:hint="eastAsia" w:ascii="宋体" w:hAnsi="宋体" w:cs="宋体"/>
                <w:color w:val="auto"/>
                <w:szCs w:val="21"/>
                <w:lang w:eastAsia="zh-CN"/>
              </w:rPr>
              <w:t>、</w:t>
            </w:r>
            <w:r>
              <w:rPr>
                <w:rFonts w:hint="eastAsia" w:ascii="宋体" w:hAnsi="宋体" w:cs="宋体"/>
                <w:color w:val="auto"/>
                <w:szCs w:val="21"/>
              </w:rPr>
              <w:t>精密酸度计等。</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eastAsia="宋体" w:cs="宋体"/>
                <w:color w:val="auto"/>
                <w:szCs w:val="21"/>
                <w:lang w:val="en-US" w:eastAsia="zh-CN"/>
              </w:rPr>
            </w:pPr>
            <w:r>
              <w:rPr>
                <w:rFonts w:hint="eastAsia" w:ascii="宋体" w:hAnsi="宋体" w:cs="宋体"/>
                <w:color w:val="auto"/>
                <w:szCs w:val="21"/>
                <w:lang w:val="en-US" w:eastAsia="zh-CN"/>
              </w:rPr>
              <w:t>生技部根据市场订单提供有生产计划</w:t>
            </w:r>
            <w:r>
              <w:rPr>
                <w:rFonts w:hint="eastAsia" w:ascii="宋体" w:hAnsi="宋体" w:cs="宋体"/>
                <w:color w:val="auto"/>
                <w:szCs w:val="21"/>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出示了《生产料单》 明确的产品名称、数量、顾客等内容。</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产品工艺流程：</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eastAsia="宋体" w:cs="宋体"/>
                <w:color w:val="auto"/>
                <w:szCs w:val="21"/>
                <w:lang w:val="en-US" w:eastAsia="zh-CN"/>
              </w:rPr>
            </w:pPr>
            <w:r>
              <w:rPr>
                <w:rFonts w:hint="eastAsia" w:ascii="宋体" w:hAnsi="宋体" w:eastAsia="宋体" w:cs="宋体"/>
                <w:color w:val="auto"/>
                <w:szCs w:val="21"/>
                <w:lang w:val="en-US" w:eastAsia="zh-CN"/>
              </w:rPr>
              <w:t>原料→搅拌（加入添加剂）→检验→过滤→灌装→入库</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其中</w:t>
            </w:r>
            <w:r>
              <w:rPr>
                <w:rFonts w:hint="eastAsia" w:ascii="宋体" w:hAnsi="宋体"/>
                <w:color w:val="auto"/>
                <w:szCs w:val="21"/>
                <w:lang w:val="en-US" w:eastAsia="zh-CN"/>
              </w:rPr>
              <w:t>搅拌过程为需确认</w:t>
            </w:r>
            <w:r>
              <w:rPr>
                <w:rFonts w:hint="eastAsia" w:ascii="宋体" w:hAnsi="宋体" w:cs="宋体"/>
                <w:color w:val="auto"/>
                <w:szCs w:val="21"/>
              </w:rPr>
              <w:t>过程。</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查看现场：</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生产现场观察，</w:t>
            </w:r>
            <w:r>
              <w:rPr>
                <w:rFonts w:hint="eastAsia" w:ascii="宋体" w:hAnsi="宋体" w:cs="宋体"/>
                <w:color w:val="auto"/>
                <w:szCs w:val="21"/>
                <w:lang w:val="en-US" w:eastAsia="zh-CN"/>
              </w:rPr>
              <w:t>近期</w:t>
            </w:r>
            <w:r>
              <w:rPr>
                <w:rFonts w:hint="eastAsia" w:ascii="宋体" w:hAnsi="宋体" w:cs="宋体"/>
                <w:color w:val="auto"/>
                <w:szCs w:val="21"/>
              </w:rPr>
              <w:t>现场</w:t>
            </w:r>
            <w:r>
              <w:rPr>
                <w:rFonts w:hint="eastAsia" w:ascii="宋体" w:hAnsi="宋体" w:cs="宋体"/>
                <w:color w:val="auto"/>
                <w:szCs w:val="21"/>
                <w:lang w:val="en-US" w:eastAsia="zh-CN"/>
              </w:rPr>
              <w:t>正在进行</w:t>
            </w:r>
            <w:r>
              <w:rPr>
                <w:rFonts w:hint="eastAsia" w:ascii="宋体" w:hAnsi="宋体" w:cs="宋体"/>
                <w:color w:val="auto"/>
                <w:szCs w:val="21"/>
                <w:highlight w:val="none"/>
                <w:lang w:val="en-US" w:eastAsia="zh-CN"/>
              </w:rPr>
              <w:t>碳钢成型润滑油（8040）</w:t>
            </w:r>
            <w:r>
              <w:rPr>
                <w:rFonts w:hint="eastAsia" w:ascii="宋体" w:hAnsi="宋体" w:cs="宋体"/>
                <w:color w:val="auto"/>
                <w:szCs w:val="21"/>
                <w:lang w:val="en-US" w:eastAsia="zh-CN"/>
              </w:rPr>
              <w:t>的生产</w:t>
            </w:r>
            <w:r>
              <w:rPr>
                <w:rFonts w:hint="eastAsia" w:ascii="宋体" w:hAnsi="宋体" w:cs="宋体"/>
                <w:color w:val="auto"/>
                <w:szCs w:val="21"/>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现场查看操作者为熟练工，工序运行情况：</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1、</w:t>
            </w:r>
            <w:r>
              <w:rPr>
                <w:rFonts w:hint="eastAsia" w:ascii="宋体" w:hAnsi="宋体" w:eastAsia="宋体" w:cs="宋体"/>
                <w:color w:val="auto"/>
                <w:szCs w:val="21"/>
                <w:lang w:val="en-US" w:eastAsia="zh-CN"/>
              </w:rPr>
              <w:t>原料添加</w:t>
            </w:r>
            <w:r>
              <w:rPr>
                <w:rFonts w:hint="eastAsia" w:ascii="宋体" w:hAnsi="宋体" w:cs="宋体"/>
                <w:color w:val="auto"/>
                <w:szCs w:val="21"/>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default" w:ascii="宋体" w:hAnsi="宋体" w:cs="宋体"/>
                <w:color w:val="auto"/>
                <w:szCs w:val="21"/>
                <w:lang w:val="en-US" w:eastAsia="zh-CN"/>
              </w:rPr>
            </w:pPr>
            <w:r>
              <w:rPr>
                <w:rFonts w:hint="eastAsia" w:ascii="宋体" w:hAnsi="宋体" w:cs="宋体"/>
                <w:color w:val="auto"/>
                <w:szCs w:val="21"/>
                <w:lang w:val="en-US" w:eastAsia="zh-CN"/>
              </w:rPr>
              <w:t>本次碳钢成型润滑油的原料为：润滑油基础油、硫化添加剂、降凝剂、消泡剂等。</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lang w:val="en-US" w:eastAsia="zh-CN"/>
              </w:rPr>
              <w:t>操作方式：润滑油基础油通过齿轮油泵，管道，从储存罐打入搅拌罐，搅拌罐上液位计控制打入量</w:t>
            </w:r>
            <w:r>
              <w:rPr>
                <w:rFonts w:hint="eastAsia" w:ascii="宋体" w:hAnsi="宋体" w:cs="宋体"/>
                <w:color w:val="auto"/>
                <w:szCs w:val="21"/>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生产设备：</w:t>
            </w:r>
            <w:r>
              <w:rPr>
                <w:rFonts w:hint="eastAsia" w:ascii="宋体" w:hAnsi="宋体" w:cs="宋体"/>
                <w:color w:val="auto"/>
                <w:szCs w:val="21"/>
                <w:lang w:val="en-US" w:eastAsia="zh-CN"/>
              </w:rPr>
              <w:t>储存罐、搅拌罐、油泵</w:t>
            </w:r>
            <w:r>
              <w:rPr>
                <w:rFonts w:hint="eastAsia" w:ascii="宋体" w:hAnsi="宋体" w:cs="宋体"/>
                <w:color w:val="auto"/>
                <w:szCs w:val="21"/>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cs="宋体"/>
                <w:color w:val="auto"/>
                <w:szCs w:val="21"/>
                <w:lang w:val="en-US" w:eastAsia="zh-CN"/>
              </w:rPr>
            </w:pPr>
            <w:r>
              <w:rPr>
                <w:rFonts w:hint="eastAsia" w:ascii="宋体" w:hAnsi="宋体" w:cs="宋体"/>
                <w:color w:val="auto"/>
                <w:szCs w:val="21"/>
              </w:rPr>
              <w:t>监视和测量：</w:t>
            </w:r>
            <w:r>
              <w:rPr>
                <w:rFonts w:hint="eastAsia" w:ascii="宋体" w:hAnsi="宋体" w:cs="宋体"/>
                <w:color w:val="auto"/>
                <w:szCs w:val="21"/>
                <w:lang w:val="en-US" w:eastAsia="zh-CN"/>
              </w:rPr>
              <w:t>液位计</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操作员：</w:t>
            </w:r>
            <w:r>
              <w:rPr>
                <w:rFonts w:hint="eastAsia" w:ascii="宋体" w:hAnsi="宋体" w:cs="宋体"/>
                <w:color w:val="auto"/>
                <w:szCs w:val="21"/>
                <w:highlight w:val="none"/>
                <w:lang w:val="en-US" w:eastAsia="zh-CN"/>
              </w:rPr>
              <w:t>李全胜、张楠</w:t>
            </w:r>
            <w:r>
              <w:rPr>
                <w:rFonts w:hint="eastAsia" w:ascii="宋体" w:hAnsi="宋体" w:cs="宋体"/>
                <w:color w:val="auto"/>
                <w:szCs w:val="21"/>
                <w:highlight w:val="none"/>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default" w:ascii="宋体" w:hAnsi="宋体" w:eastAsia="宋体" w:cs="宋体"/>
                <w:color w:val="auto"/>
                <w:szCs w:val="21"/>
                <w:lang w:val="en-US" w:eastAsia="zh-CN"/>
              </w:rPr>
            </w:pPr>
            <w:r>
              <w:rPr>
                <w:rFonts w:hint="eastAsia" w:ascii="宋体" w:hAnsi="宋体" w:cs="宋体"/>
                <w:color w:val="auto"/>
                <w:szCs w:val="21"/>
              </w:rPr>
              <w:t>2、</w:t>
            </w:r>
            <w:r>
              <w:rPr>
                <w:rFonts w:hint="eastAsia" w:ascii="宋体" w:hAnsi="宋体" w:cs="宋体"/>
                <w:color w:val="auto"/>
                <w:szCs w:val="21"/>
                <w:lang w:val="en-US" w:eastAsia="zh-CN"/>
              </w:rPr>
              <w:t>搅拌工序</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操作方式：启动搅拌，用计量泵往搅拌罐加入添加剂，加入顺序：硫化添加剂、降凝剂、消泡剂，添加剂加入完毕后搅拌半小时。</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default" w:ascii="宋体" w:hAnsi="宋体" w:eastAsia="宋体" w:cs="宋体"/>
                <w:color w:val="auto"/>
                <w:szCs w:val="21"/>
                <w:lang w:val="en-US" w:eastAsia="zh-CN"/>
              </w:rPr>
            </w:pPr>
            <w:r>
              <w:rPr>
                <w:rFonts w:hint="eastAsia" w:ascii="宋体" w:hAnsi="宋体" w:cs="宋体"/>
                <w:color w:val="auto"/>
                <w:szCs w:val="21"/>
                <w:lang w:val="en-US" w:eastAsia="zh-CN"/>
              </w:rPr>
              <w:t>生产设备：搅拌罐、升降机、计量泵</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eastAsia="宋体" w:cs="宋体"/>
                <w:color w:val="auto"/>
                <w:szCs w:val="21"/>
                <w:lang w:val="en-US" w:eastAsia="zh-CN"/>
              </w:rPr>
            </w:pPr>
            <w:r>
              <w:rPr>
                <w:rFonts w:hint="eastAsia" w:ascii="宋体" w:hAnsi="宋体" w:cs="宋体"/>
                <w:color w:val="auto"/>
                <w:szCs w:val="21"/>
                <w:lang w:val="en-US" w:eastAsia="zh-CN"/>
              </w:rPr>
              <w:t>监视和测量设备：计</w:t>
            </w:r>
            <w:r>
              <w:rPr>
                <w:rFonts w:hint="eastAsia" w:ascii="宋体" w:hAnsi="宋体" w:eastAsia="宋体" w:cs="宋体"/>
                <w:color w:val="auto"/>
                <w:szCs w:val="21"/>
                <w:lang w:val="en-US" w:eastAsia="zh-CN"/>
              </w:rPr>
              <w:t>量泵</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default" w:ascii="宋体" w:hAnsi="宋体" w:eastAsia="宋体" w:cs="宋体"/>
                <w:color w:val="auto"/>
                <w:szCs w:val="21"/>
                <w:lang w:val="en-US" w:eastAsia="zh-CN"/>
              </w:rPr>
            </w:pPr>
            <w:r>
              <w:rPr>
                <w:rFonts w:hint="default" w:ascii="宋体" w:hAnsi="宋体" w:eastAsia="宋体" w:cs="宋体"/>
                <w:color w:val="auto"/>
                <w:szCs w:val="21"/>
                <w:lang w:val="en-US" w:eastAsia="zh-CN"/>
              </w:rPr>
              <w:t>操作员：</w:t>
            </w:r>
            <w:r>
              <w:rPr>
                <w:rFonts w:hint="eastAsia" w:ascii="宋体" w:hAnsi="宋体" w:cs="宋体"/>
                <w:color w:val="auto"/>
                <w:szCs w:val="21"/>
                <w:highlight w:val="none"/>
                <w:lang w:val="en-US" w:eastAsia="zh-CN"/>
              </w:rPr>
              <w:t>张楠</w:t>
            </w:r>
            <w:r>
              <w:rPr>
                <w:rFonts w:hint="default" w:ascii="宋体" w:hAnsi="宋体" w:eastAsia="宋体" w:cs="宋体"/>
                <w:color w:val="auto"/>
                <w:szCs w:val="21"/>
                <w:highlight w:val="none"/>
                <w:lang w:val="en-US" w:eastAsia="zh-CN"/>
              </w:rPr>
              <w:t>、李全胜</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提供有生产记录表</w:t>
            </w:r>
          </w:p>
          <w:p>
            <w:pPr>
              <w:pStyle w:val="4"/>
              <w:rPr>
                <w:rFonts w:hint="default"/>
                <w:lang w:val="en-US" w:eastAsia="zh-CN"/>
              </w:rPr>
            </w:pPr>
            <w:r>
              <w:drawing>
                <wp:inline distT="0" distB="0" distL="114300" distR="114300">
                  <wp:extent cx="1478915" cy="1852295"/>
                  <wp:effectExtent l="0" t="0" r="6985" b="1905"/>
                  <wp:docPr id="2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1"/>
                          <pic:cNvPicPr>
                            <a:picLocks noChangeAspect="1"/>
                          </pic:cNvPicPr>
                        </pic:nvPicPr>
                        <pic:blipFill>
                          <a:blip r:embed="rId11"/>
                          <a:stretch>
                            <a:fillRect/>
                          </a:stretch>
                        </pic:blipFill>
                        <pic:spPr>
                          <a:xfrm>
                            <a:off x="0" y="0"/>
                            <a:ext cx="1478915" cy="1852295"/>
                          </a:xfrm>
                          <a:prstGeom prst="rect">
                            <a:avLst/>
                          </a:prstGeom>
                          <a:noFill/>
                          <a:ln>
                            <a:noFill/>
                          </a:ln>
                        </pic:spPr>
                      </pic:pic>
                    </a:graphicData>
                  </a:graphic>
                </wp:inline>
              </w:drawing>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eastAsia="宋体" w:cs="宋体"/>
                <w:color w:val="auto"/>
                <w:szCs w:val="21"/>
                <w:lang w:eastAsia="zh-CN"/>
              </w:rPr>
            </w:pPr>
            <w:r>
              <w:rPr>
                <w:rFonts w:hint="eastAsia" w:ascii="宋体" w:hAnsi="宋体" w:cs="宋体"/>
                <w:color w:val="auto"/>
                <w:szCs w:val="21"/>
              </w:rPr>
              <w:t>3、</w:t>
            </w:r>
            <w:r>
              <w:rPr>
                <w:rFonts w:hint="eastAsia" w:ascii="宋体" w:hAnsi="宋体"/>
                <w:color w:val="auto"/>
                <w:szCs w:val="21"/>
                <w:lang w:val="en-US" w:eastAsia="zh-CN"/>
              </w:rPr>
              <w:t>检验</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0000FF"/>
                <w:szCs w:val="21"/>
              </w:rPr>
            </w:pPr>
            <w:r>
              <w:rPr>
                <w:rFonts w:hint="eastAsia" w:ascii="宋体" w:hAnsi="宋体" w:cs="宋体"/>
                <w:color w:val="auto"/>
                <w:szCs w:val="21"/>
                <w:lang w:val="en-US" w:eastAsia="zh-CN"/>
              </w:rPr>
              <w:t>搅拌工序停止后进行过程检验，检验员在搅拌罐采样进行化验，具体化验记录见8.6过程检验，检验合格后进行下一工序</w:t>
            </w:r>
            <w:r>
              <w:rPr>
                <w:rFonts w:hint="eastAsia" w:ascii="宋体" w:hAnsi="宋体" w:cs="宋体"/>
                <w:color w:val="auto"/>
                <w:szCs w:val="21"/>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4、</w:t>
            </w:r>
            <w:r>
              <w:rPr>
                <w:rFonts w:hint="eastAsia" w:ascii="宋体" w:hAnsi="宋体" w:cs="宋体"/>
                <w:color w:val="auto"/>
                <w:szCs w:val="21"/>
                <w:lang w:val="en-US" w:eastAsia="zh-CN"/>
              </w:rPr>
              <w:t>过滤、灌装</w:t>
            </w:r>
            <w:r>
              <w:rPr>
                <w:rFonts w:hint="eastAsia" w:ascii="宋体" w:hAnsi="宋体" w:cs="宋体"/>
                <w:color w:val="auto"/>
                <w:szCs w:val="21"/>
              </w:rPr>
              <w:t>工序</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lang w:val="en-US" w:eastAsia="zh-CN"/>
              </w:rPr>
              <w:t>操作方式：灌装前检验包装桶的清洁程度，合格后从搅拌罐经过滤机，通过灌装机装入检验后的桶中进行灌装，灌装后贴上标签，标签上备注品名，数量，生产日期，检验员，注意事项等信息</w:t>
            </w:r>
            <w:r>
              <w:rPr>
                <w:rFonts w:hint="eastAsia" w:ascii="宋体" w:hAnsi="宋体" w:cs="宋体"/>
                <w:color w:val="auto"/>
                <w:szCs w:val="21"/>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生产设备：</w:t>
            </w:r>
            <w:r>
              <w:rPr>
                <w:rFonts w:hint="eastAsia" w:ascii="宋体" w:hAnsi="宋体" w:cs="宋体"/>
                <w:color w:val="auto"/>
                <w:szCs w:val="21"/>
                <w:lang w:val="en-US" w:eastAsia="zh-CN"/>
              </w:rPr>
              <w:t>搅拌罐、过滤机，灌装机，叉车</w:t>
            </w:r>
            <w:r>
              <w:rPr>
                <w:rFonts w:hint="eastAsia" w:ascii="宋体" w:hAnsi="宋体" w:cs="宋体"/>
                <w:color w:val="auto"/>
                <w:szCs w:val="21"/>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cs="宋体"/>
                <w:color w:val="auto"/>
                <w:szCs w:val="21"/>
                <w:lang w:val="en-US" w:eastAsia="zh-CN"/>
              </w:rPr>
            </w:pPr>
            <w:r>
              <w:rPr>
                <w:rFonts w:hint="eastAsia" w:ascii="宋体" w:hAnsi="宋体" w:cs="宋体"/>
                <w:color w:val="auto"/>
                <w:szCs w:val="21"/>
              </w:rPr>
              <w:t>监视和测量：</w:t>
            </w:r>
            <w:r>
              <w:rPr>
                <w:rFonts w:hint="eastAsia" w:ascii="宋体" w:hAnsi="宋体" w:cs="宋体"/>
                <w:color w:val="auto"/>
                <w:szCs w:val="21"/>
                <w:lang w:val="en-US" w:eastAsia="zh-CN"/>
              </w:rPr>
              <w:t>灌装机</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操作员：</w:t>
            </w:r>
            <w:r>
              <w:rPr>
                <w:rFonts w:hint="eastAsia" w:ascii="宋体" w:hAnsi="宋体" w:cs="宋体"/>
                <w:color w:val="auto"/>
                <w:szCs w:val="21"/>
                <w:highlight w:val="none"/>
                <w:lang w:val="en-US" w:eastAsia="zh-CN"/>
              </w:rPr>
              <w:t>尹立宾，肖洪亮</w:t>
            </w:r>
          </w:p>
          <w:p>
            <w:pPr>
              <w:pStyle w:val="4"/>
              <w:keepNext w:val="0"/>
              <w:keepLines w:val="0"/>
              <w:pageBreakBefore w:val="0"/>
              <w:widowControl w:val="0"/>
              <w:kinsoku/>
              <w:wordWrap/>
              <w:overflowPunct/>
              <w:topLinePunct w:val="0"/>
              <w:autoSpaceDE/>
              <w:autoSpaceDN/>
              <w:bidi w:val="0"/>
              <w:spacing w:before="157" w:beforeLines="50" w:after="0" w:line="240" w:lineRule="auto"/>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提供有灌装记录，内容包括日期，品名，灌装数量，发往地等内容。</w:t>
            </w:r>
          </w:p>
          <w:p>
            <w:pPr>
              <w:pStyle w:val="4"/>
              <w:keepNext w:val="0"/>
              <w:keepLines w:val="0"/>
              <w:pageBreakBefore w:val="0"/>
              <w:widowControl w:val="0"/>
              <w:kinsoku/>
              <w:wordWrap/>
              <w:overflowPunct/>
              <w:topLinePunct w:val="0"/>
              <w:autoSpaceDE/>
              <w:autoSpaceDN/>
              <w:bidi w:val="0"/>
              <w:spacing w:before="157" w:beforeLines="50" w:after="0" w:line="240" w:lineRule="auto"/>
              <w:textAlignment w:val="auto"/>
              <w:rPr>
                <w:rFonts w:hint="default"/>
                <w:lang w:val="en-US" w:eastAsia="zh-CN"/>
              </w:rPr>
            </w:pPr>
            <w:r>
              <w:drawing>
                <wp:inline distT="0" distB="0" distL="114300" distR="114300">
                  <wp:extent cx="1536700" cy="1798320"/>
                  <wp:effectExtent l="0" t="0" r="0" b="508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4"/>
                          <pic:cNvPicPr>
                            <a:picLocks noChangeAspect="1"/>
                          </pic:cNvPicPr>
                        </pic:nvPicPr>
                        <pic:blipFill>
                          <a:blip r:embed="rId12"/>
                          <a:stretch>
                            <a:fillRect/>
                          </a:stretch>
                        </pic:blipFill>
                        <pic:spPr>
                          <a:xfrm>
                            <a:off x="0" y="0"/>
                            <a:ext cx="1536700" cy="1798320"/>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511300" cy="1784350"/>
                  <wp:effectExtent l="0" t="0" r="0" b="6350"/>
                  <wp:docPr id="1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
                          <pic:cNvPicPr>
                            <a:picLocks noChangeAspect="1"/>
                          </pic:cNvPicPr>
                        </pic:nvPicPr>
                        <pic:blipFill>
                          <a:blip r:embed="rId13"/>
                          <a:stretch>
                            <a:fillRect/>
                          </a:stretch>
                        </pic:blipFill>
                        <pic:spPr>
                          <a:xfrm>
                            <a:off x="0" y="0"/>
                            <a:ext cx="1511300" cy="17843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5、</w:t>
            </w:r>
            <w:r>
              <w:rPr>
                <w:rFonts w:hint="eastAsia" w:ascii="宋体" w:hAnsi="宋体" w:cs="宋体"/>
                <w:color w:val="auto"/>
                <w:szCs w:val="21"/>
                <w:lang w:val="en-US" w:eastAsia="zh-CN"/>
              </w:rPr>
              <w:t>入库</w:t>
            </w:r>
            <w:r>
              <w:rPr>
                <w:rFonts w:hint="eastAsia" w:ascii="宋体" w:hAnsi="宋体" w:cs="宋体"/>
                <w:color w:val="auto"/>
                <w:szCs w:val="21"/>
              </w:rPr>
              <w:t>工序</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lang w:val="en-US" w:eastAsia="zh-CN"/>
              </w:rPr>
              <w:t>同一批次完成灌装后，保留样品，然后统一进行入库，留入库记录。联系物流公司进行发货。</w:t>
            </w:r>
            <w:r>
              <w:rPr>
                <w:rFonts w:hint="eastAsia" w:ascii="宋体" w:hAnsi="宋体" w:cs="宋体"/>
                <w:color w:val="auto"/>
                <w:szCs w:val="21"/>
              </w:rPr>
              <w:t>其生产过程基本受控。</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另</w:t>
            </w:r>
            <w:r>
              <w:rPr>
                <w:rFonts w:hint="eastAsia" w:ascii="宋体" w:hAnsi="宋体" w:cs="宋体"/>
                <w:color w:val="auto"/>
                <w:szCs w:val="21"/>
                <w:lang w:val="en-US" w:eastAsia="zh-CN"/>
              </w:rPr>
              <w:t>办公室</w:t>
            </w:r>
            <w:r>
              <w:rPr>
                <w:rFonts w:hint="eastAsia" w:ascii="宋体" w:hAnsi="宋体" w:cs="宋体"/>
                <w:color w:val="auto"/>
                <w:szCs w:val="21"/>
              </w:rPr>
              <w:t>对交付给顾客的产品进行回访，对相关的客户反馈信息（包括投诉）进行收集、分析和妥善处理。到现在，未发生质量投诉，反馈信息均进行了分析处理，并验证了情况。</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公司</w:t>
            </w:r>
            <w:r>
              <w:rPr>
                <w:rFonts w:hint="eastAsia" w:ascii="宋体" w:hAnsi="宋体" w:cs="宋体"/>
                <w:color w:val="auto"/>
                <w:szCs w:val="21"/>
                <w:lang w:val="en-US" w:eastAsia="zh-CN"/>
              </w:rPr>
              <w:t>特殊/关键过程</w:t>
            </w:r>
            <w:r>
              <w:rPr>
                <w:rFonts w:hint="eastAsia" w:ascii="宋体" w:hAnsi="宋体" w:cs="宋体"/>
                <w:color w:val="auto"/>
                <w:szCs w:val="21"/>
              </w:rPr>
              <w:t>确定为：</w:t>
            </w:r>
            <w:r>
              <w:rPr>
                <w:rFonts w:hint="eastAsia" w:ascii="宋体" w:hAnsi="宋体" w:cs="宋体"/>
                <w:color w:val="auto"/>
                <w:szCs w:val="21"/>
                <w:lang w:val="en-US" w:eastAsia="zh-CN"/>
              </w:rPr>
              <w:t>搅拌</w:t>
            </w:r>
            <w:r>
              <w:rPr>
                <w:rFonts w:hint="eastAsia" w:ascii="宋体" w:hAnsi="宋体" w:cs="宋体"/>
                <w:color w:val="auto"/>
                <w:szCs w:val="21"/>
              </w:rPr>
              <w:t>。制定了《生产和服务提供控制程序》，对特殊过程的管理进行了规定。通过产品检验和配备有能力的员工实施生产，对特殊过程的质量予以控制，并采取以下方式予以确认：</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查：对</w:t>
            </w:r>
            <w:r>
              <w:rPr>
                <w:rFonts w:hint="eastAsia" w:ascii="宋体" w:hAnsi="宋体" w:cs="宋体"/>
                <w:color w:val="auto"/>
                <w:szCs w:val="21"/>
                <w:lang w:val="en-US" w:eastAsia="zh-CN"/>
              </w:rPr>
              <w:t>搅拌</w:t>
            </w:r>
            <w:r>
              <w:rPr>
                <w:rFonts w:hint="eastAsia" w:ascii="宋体" w:hAnsi="宋体" w:cs="宋体"/>
                <w:color w:val="auto"/>
                <w:szCs w:val="21"/>
              </w:rPr>
              <w:t>过程的作业指导书、设备及操作人员能力进行了确认。使用的设备进行了维护和保养，状态良好，该工序的员工需经公司培训合格后上岗。</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default" w:ascii="宋体" w:hAnsi="宋体" w:eastAsia="宋体" w:cs="宋体"/>
                <w:color w:val="auto"/>
                <w:szCs w:val="21"/>
                <w:lang w:val="en-US" w:eastAsia="zh-CN"/>
              </w:rPr>
            </w:pPr>
            <w:r>
              <w:rPr>
                <w:rFonts w:hint="eastAsia" w:ascii="宋体" w:hAnsi="宋体" w:cs="宋体"/>
                <w:color w:val="auto"/>
                <w:szCs w:val="21"/>
              </w:rPr>
              <w:t>抽</w:t>
            </w:r>
            <w:r>
              <w:rPr>
                <w:rFonts w:hint="eastAsia" w:ascii="宋体" w:hAnsi="宋体" w:cs="宋体"/>
                <w:color w:val="auto"/>
                <w:szCs w:val="21"/>
                <w:highlight w:val="none"/>
              </w:rPr>
              <w:t>202</w:t>
            </w:r>
            <w:r>
              <w:rPr>
                <w:rFonts w:hint="eastAsia" w:ascii="宋体" w:hAnsi="宋体" w:cs="宋体"/>
                <w:color w:val="auto"/>
                <w:szCs w:val="21"/>
                <w:highlight w:val="none"/>
                <w:lang w:val="en-US" w:eastAsia="zh-CN"/>
              </w:rPr>
              <w:t>2</w:t>
            </w:r>
            <w:r>
              <w:rPr>
                <w:rFonts w:hint="eastAsia" w:ascii="宋体" w:hAnsi="宋体" w:cs="宋体"/>
                <w:color w:val="auto"/>
                <w:szCs w:val="21"/>
                <w:highlight w:val="none"/>
              </w:rPr>
              <w:t>年</w:t>
            </w:r>
            <w:r>
              <w:rPr>
                <w:rFonts w:hint="eastAsia" w:ascii="宋体" w:hAnsi="宋体" w:cs="宋体"/>
                <w:color w:val="auto"/>
                <w:szCs w:val="21"/>
                <w:highlight w:val="none"/>
                <w:lang w:val="en-US" w:eastAsia="zh-CN"/>
              </w:rPr>
              <w:t>9</w:t>
            </w:r>
            <w:r>
              <w:rPr>
                <w:rFonts w:hint="eastAsia" w:ascii="宋体" w:hAnsi="宋体" w:cs="宋体"/>
                <w:color w:val="auto"/>
                <w:szCs w:val="21"/>
                <w:highlight w:val="none"/>
              </w:rPr>
              <w:t>月</w:t>
            </w:r>
            <w:r>
              <w:rPr>
                <w:rFonts w:hint="eastAsia" w:ascii="宋体" w:hAnsi="宋体" w:cs="宋体"/>
                <w:color w:val="auto"/>
                <w:szCs w:val="21"/>
                <w:highlight w:val="none"/>
                <w:lang w:val="en-US" w:eastAsia="zh-CN"/>
              </w:rPr>
              <w:t>3</w:t>
            </w:r>
            <w:r>
              <w:rPr>
                <w:rFonts w:hint="eastAsia" w:ascii="宋体" w:hAnsi="宋体" w:cs="宋体"/>
                <w:color w:val="auto"/>
                <w:szCs w:val="21"/>
                <w:highlight w:val="none"/>
              </w:rPr>
              <w:t>日，</w:t>
            </w:r>
            <w:r>
              <w:rPr>
                <w:rFonts w:hint="eastAsia" w:ascii="宋体" w:hAnsi="宋体" w:cs="宋体"/>
                <w:color w:val="auto"/>
                <w:szCs w:val="21"/>
              </w:rPr>
              <w:t>对</w:t>
            </w:r>
            <w:r>
              <w:rPr>
                <w:rFonts w:hint="eastAsia" w:ascii="宋体" w:hAnsi="宋体" w:cs="宋体"/>
                <w:color w:val="auto"/>
                <w:szCs w:val="21"/>
                <w:lang w:val="en-US" w:eastAsia="zh-CN"/>
              </w:rPr>
              <w:t>搅拌</w:t>
            </w:r>
            <w:r>
              <w:rPr>
                <w:rFonts w:hint="eastAsia" w:ascii="宋体" w:hAnsi="宋体" w:cs="宋体"/>
                <w:color w:val="auto"/>
                <w:szCs w:val="21"/>
              </w:rPr>
              <w:t>工序的确认，提供有《特殊/关键过程确认报告》 人员</w:t>
            </w:r>
            <w:r>
              <w:rPr>
                <w:rFonts w:hint="eastAsia" w:ascii="宋体" w:hAnsi="宋体" w:cs="宋体"/>
                <w:color w:val="auto"/>
                <w:szCs w:val="21"/>
                <w:lang w:eastAsia="zh-CN"/>
              </w:rPr>
              <w:t>：</w:t>
            </w:r>
            <w:r>
              <w:rPr>
                <w:rFonts w:hint="eastAsia" w:ascii="宋体" w:hAnsi="宋体" w:cs="宋体"/>
                <w:color w:val="auto"/>
                <w:szCs w:val="21"/>
              </w:rPr>
              <w:t>人员均培训合格后上岗，能胜任该岗位，熟练操作。设备</w:t>
            </w:r>
            <w:r>
              <w:rPr>
                <w:rFonts w:hint="eastAsia" w:ascii="宋体" w:hAnsi="宋体" w:cs="宋体"/>
                <w:color w:val="auto"/>
                <w:szCs w:val="21"/>
                <w:lang w:eastAsia="zh-CN"/>
              </w:rPr>
              <w:t>：</w:t>
            </w:r>
            <w:r>
              <w:rPr>
                <w:rFonts w:hint="eastAsia" w:ascii="宋体" w:hAnsi="宋体" w:cs="宋体"/>
                <w:color w:val="auto"/>
                <w:szCs w:val="21"/>
              </w:rPr>
              <w:t>设备日常维护保养，确保了运行达到正常运行的要求材料</w:t>
            </w:r>
            <w:r>
              <w:rPr>
                <w:rFonts w:hint="eastAsia" w:ascii="宋体" w:hAnsi="宋体" w:cs="宋体"/>
                <w:color w:val="auto"/>
                <w:szCs w:val="21"/>
                <w:lang w:eastAsia="zh-CN"/>
              </w:rPr>
              <w:t>：</w:t>
            </w:r>
            <w:r>
              <w:rPr>
                <w:rFonts w:hint="eastAsia" w:ascii="宋体" w:hAnsi="宋体" w:cs="宋体"/>
                <w:color w:val="auto"/>
                <w:szCs w:val="21"/>
              </w:rPr>
              <w:t>主要原材均从合格供方采购，经检验合格工艺方法</w:t>
            </w:r>
            <w:r>
              <w:rPr>
                <w:rFonts w:hint="eastAsia" w:ascii="宋体" w:hAnsi="宋体" w:cs="宋体"/>
                <w:color w:val="auto"/>
                <w:szCs w:val="21"/>
                <w:lang w:eastAsia="zh-CN"/>
              </w:rPr>
              <w:t>：</w:t>
            </w:r>
            <w:r>
              <w:rPr>
                <w:rFonts w:hint="eastAsia" w:ascii="宋体" w:hAnsi="宋体" w:cs="宋体"/>
                <w:color w:val="auto"/>
                <w:szCs w:val="21"/>
              </w:rPr>
              <w:t>符合要求</w:t>
            </w:r>
            <w:r>
              <w:rPr>
                <w:rFonts w:hint="eastAsia" w:ascii="宋体" w:hAnsi="宋体" w:cs="宋体"/>
                <w:color w:val="auto"/>
                <w:szCs w:val="21"/>
                <w:lang w:eastAsia="zh-CN"/>
              </w:rPr>
              <w:t>，</w:t>
            </w:r>
            <w:r>
              <w:rPr>
                <w:rFonts w:hint="eastAsia" w:ascii="宋体" w:hAnsi="宋体" w:cs="宋体"/>
                <w:color w:val="auto"/>
                <w:szCs w:val="21"/>
              </w:rPr>
              <w:t>制订并执行“工艺操作规程”要求</w:t>
            </w:r>
            <w:r>
              <w:rPr>
                <w:rFonts w:hint="eastAsia" w:ascii="宋体" w:hAnsi="宋体" w:cs="宋体"/>
                <w:color w:val="auto"/>
                <w:szCs w:val="21"/>
                <w:lang w:eastAsia="zh-CN"/>
              </w:rPr>
              <w:t>，</w:t>
            </w:r>
            <w:r>
              <w:rPr>
                <w:rFonts w:hint="eastAsia" w:ascii="宋体" w:hAnsi="宋体" w:cs="宋体"/>
                <w:color w:val="auto"/>
                <w:szCs w:val="21"/>
              </w:rPr>
              <w:t>工艺控制在要求范围内工作环境</w:t>
            </w:r>
            <w:r>
              <w:rPr>
                <w:rFonts w:hint="eastAsia" w:ascii="宋体" w:hAnsi="宋体" w:cs="宋体"/>
                <w:color w:val="auto"/>
                <w:szCs w:val="21"/>
                <w:lang w:eastAsia="zh-CN"/>
              </w:rPr>
              <w:t>：</w:t>
            </w:r>
            <w:r>
              <w:rPr>
                <w:rFonts w:hint="eastAsia" w:ascii="宋体" w:hAnsi="宋体" w:cs="宋体"/>
                <w:color w:val="auto"/>
                <w:szCs w:val="21"/>
              </w:rPr>
              <w:t>工作环境良好，安全，符合要求批准人：</w:t>
            </w:r>
            <w:r>
              <w:rPr>
                <w:rFonts w:hint="eastAsia" w:ascii="宋体" w:hAnsi="宋体" w:cs="宋体"/>
                <w:color w:val="auto"/>
                <w:szCs w:val="21"/>
                <w:lang w:val="en-US" w:eastAsia="zh-CN"/>
              </w:rPr>
              <w:t>王西海</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0000FF"/>
                <w:szCs w:val="21"/>
              </w:rPr>
            </w:pPr>
            <w:r>
              <w:rPr>
                <w:rFonts w:hint="eastAsia" w:ascii="宋体" w:hAnsi="宋体" w:cs="宋体"/>
                <w:color w:val="auto"/>
                <w:szCs w:val="21"/>
              </w:rPr>
              <w:t>整个过程基本受控；</w:t>
            </w:r>
          </w:p>
        </w:tc>
        <w:tc>
          <w:tcPr>
            <w:tcW w:w="1284" w:type="dxa"/>
            <w:vAlign w:val="top"/>
          </w:tcPr>
          <w:p>
            <w:pPr>
              <w:rPr>
                <w:rFonts w:ascii="Times New Roman" w:hAnsi="Times New Roman" w:eastAsia="宋体" w:cs="Times New Roman"/>
                <w:kern w:val="2"/>
                <w:sz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3" w:hRule="atLeast"/>
        </w:trPr>
        <w:tc>
          <w:tcPr>
            <w:tcW w:w="2160" w:type="dxa"/>
          </w:tcPr>
          <w:p>
            <w:pPr>
              <w:spacing w:line="400" w:lineRule="atLeast"/>
              <w:rPr>
                <w:rFonts w:ascii="宋体" w:hAnsi="宋体"/>
                <w:b/>
                <w:szCs w:val="21"/>
              </w:rPr>
            </w:pPr>
            <w:r>
              <w:rPr>
                <w:rFonts w:hint="eastAsia" w:ascii="宋体" w:hAnsi="宋体"/>
                <w:szCs w:val="21"/>
              </w:rPr>
              <w:t>标识及可追溯性</w:t>
            </w:r>
          </w:p>
        </w:tc>
        <w:tc>
          <w:tcPr>
            <w:tcW w:w="960" w:type="dxa"/>
          </w:tcPr>
          <w:p>
            <w:pPr>
              <w:spacing w:line="400" w:lineRule="atLeast"/>
              <w:ind w:right="-158" w:rightChars="-75"/>
              <w:rPr>
                <w:rFonts w:ascii="宋体" w:hAnsi="宋体"/>
                <w:szCs w:val="21"/>
              </w:rPr>
            </w:pPr>
            <w:r>
              <w:rPr>
                <w:rFonts w:hint="eastAsia" w:ascii="宋体" w:hAnsi="宋体"/>
                <w:szCs w:val="21"/>
                <w:lang w:val="en-US" w:eastAsia="zh-CN"/>
              </w:rPr>
              <w:t>Q</w:t>
            </w:r>
            <w:r>
              <w:rPr>
                <w:rFonts w:hint="eastAsia" w:ascii="宋体" w:hAnsi="宋体"/>
                <w:szCs w:val="21"/>
              </w:rPr>
              <w:t>8.5.2</w:t>
            </w:r>
          </w:p>
          <w:p>
            <w:pPr>
              <w:adjustRightInd w:val="0"/>
              <w:snapToGrid w:val="0"/>
              <w:jc w:val="center"/>
              <w:rPr>
                <w:rFonts w:ascii="宋体" w:hAnsi="宋体" w:cs="宋体"/>
                <w:b/>
                <w:szCs w:val="21"/>
              </w:rPr>
            </w:pPr>
          </w:p>
        </w:tc>
        <w:tc>
          <w:tcPr>
            <w:tcW w:w="10305" w:type="dxa"/>
          </w:tcPr>
          <w:p>
            <w:pPr>
              <w:adjustRightInd w:val="0"/>
              <w:snapToGrid w:val="0"/>
              <w:spacing w:line="400" w:lineRule="exact"/>
              <w:jc w:val="left"/>
              <w:rPr>
                <w:rFonts w:ascii="宋体" w:hAnsi="宋体" w:cs="宋体"/>
                <w:color w:val="auto"/>
                <w:szCs w:val="21"/>
              </w:rPr>
            </w:pPr>
            <w:r>
              <w:rPr>
                <w:rFonts w:hint="eastAsia" w:ascii="宋体" w:hAnsi="宋体" w:cs="宋体"/>
                <w:color w:val="auto"/>
                <w:szCs w:val="21"/>
              </w:rPr>
              <w:t>查《</w:t>
            </w:r>
            <w:r>
              <w:rPr>
                <w:rFonts w:hint="eastAsia" w:ascii="宋体" w:hAnsi="宋体" w:cs="宋体"/>
                <w:color w:val="auto"/>
                <w:szCs w:val="21"/>
                <w:lang w:eastAsia="zh-CN"/>
              </w:rPr>
              <w:t>管理手册</w:t>
            </w:r>
            <w:r>
              <w:rPr>
                <w:rFonts w:hint="eastAsia" w:ascii="宋体" w:hAnsi="宋体" w:cs="宋体"/>
                <w:color w:val="auto"/>
                <w:szCs w:val="21"/>
              </w:rPr>
              <w:t>》，公司</w:t>
            </w:r>
            <w:r>
              <w:rPr>
                <w:rFonts w:hint="eastAsia" w:ascii="宋体" w:hAnsi="宋体" w:cs="宋体"/>
                <w:color w:val="auto"/>
                <w:szCs w:val="21"/>
                <w:lang w:eastAsia="zh-CN"/>
              </w:rPr>
              <w:t>管理体系</w:t>
            </w:r>
            <w:r>
              <w:rPr>
                <w:rFonts w:hint="eastAsia" w:ascii="宋体" w:hAnsi="宋体" w:cs="宋体"/>
                <w:color w:val="auto"/>
                <w:szCs w:val="21"/>
              </w:rPr>
              <w:t>对产品、检验状态进行了规定，标识的方法采用标牌、记录等。</w:t>
            </w:r>
          </w:p>
          <w:p>
            <w:pPr>
              <w:adjustRightInd w:val="0"/>
              <w:snapToGrid w:val="0"/>
              <w:spacing w:line="400" w:lineRule="exact"/>
              <w:jc w:val="left"/>
              <w:rPr>
                <w:rFonts w:ascii="宋体" w:hAnsi="宋体" w:cs="宋体"/>
                <w:color w:val="auto"/>
                <w:szCs w:val="21"/>
              </w:rPr>
            </w:pPr>
            <w:r>
              <w:rPr>
                <w:rFonts w:hint="eastAsia" w:ascii="宋体" w:hAnsi="宋体" w:cs="宋体"/>
                <w:color w:val="auto"/>
                <w:szCs w:val="21"/>
              </w:rPr>
              <w:t>现场观察：原材料采用“标识牌”进行标识，牌上注明“原材料名称”、“供应商”等内容；</w:t>
            </w:r>
          </w:p>
          <w:p>
            <w:pPr>
              <w:adjustRightInd w:val="0"/>
              <w:snapToGrid w:val="0"/>
              <w:spacing w:line="400" w:lineRule="exact"/>
              <w:jc w:val="left"/>
              <w:rPr>
                <w:rFonts w:ascii="宋体" w:hAnsi="宋体" w:cs="宋体"/>
                <w:color w:val="auto"/>
                <w:szCs w:val="21"/>
              </w:rPr>
            </w:pPr>
            <w:r>
              <w:rPr>
                <w:rFonts w:hint="eastAsia" w:ascii="宋体" w:hAnsi="宋体" w:cs="宋体"/>
                <w:color w:val="auto"/>
                <w:szCs w:val="21"/>
              </w:rPr>
              <w:t>生产过程用采用</w:t>
            </w:r>
            <w:r>
              <w:rPr>
                <w:rFonts w:hint="eastAsia" w:ascii="宋体" w:hAnsi="宋体" w:cs="宋体"/>
                <w:color w:val="auto"/>
                <w:szCs w:val="21"/>
                <w:lang w:val="en-US" w:eastAsia="zh-CN"/>
              </w:rPr>
              <w:t>产品标签</w:t>
            </w:r>
            <w:r>
              <w:rPr>
                <w:rFonts w:hint="eastAsia" w:ascii="宋体" w:hAnsi="宋体" w:cs="宋体"/>
                <w:color w:val="auto"/>
                <w:szCs w:val="21"/>
              </w:rPr>
              <w:t>进行标识；</w:t>
            </w:r>
          </w:p>
          <w:p>
            <w:pPr>
              <w:adjustRightInd w:val="0"/>
              <w:snapToGrid w:val="0"/>
              <w:spacing w:line="400" w:lineRule="exact"/>
              <w:jc w:val="left"/>
              <w:rPr>
                <w:rFonts w:ascii="宋体" w:hAnsi="宋体" w:cs="宋体"/>
                <w:color w:val="auto"/>
                <w:szCs w:val="21"/>
              </w:rPr>
            </w:pPr>
            <w:r>
              <w:rPr>
                <w:rFonts w:hint="eastAsia" w:ascii="宋体" w:hAnsi="宋体" w:cs="宋体"/>
                <w:color w:val="auto"/>
                <w:szCs w:val="21"/>
              </w:rPr>
              <w:t>生产记录对质检员、</w:t>
            </w:r>
            <w:r>
              <w:rPr>
                <w:rFonts w:hint="eastAsia" w:ascii="宋体" w:hAnsi="宋体" w:cs="宋体"/>
                <w:color w:val="auto"/>
                <w:szCs w:val="21"/>
                <w:lang w:val="en-US" w:eastAsia="zh-CN"/>
              </w:rPr>
              <w:t>生产员、</w:t>
            </w:r>
            <w:r>
              <w:rPr>
                <w:rFonts w:hint="eastAsia" w:ascii="宋体" w:hAnsi="宋体" w:cs="宋体"/>
                <w:color w:val="auto"/>
                <w:szCs w:val="21"/>
              </w:rPr>
              <w:t>生产日期</w:t>
            </w:r>
            <w:r>
              <w:rPr>
                <w:rFonts w:hint="eastAsia" w:ascii="宋体" w:hAnsi="宋体" w:cs="宋体"/>
                <w:color w:val="auto"/>
                <w:szCs w:val="21"/>
                <w:lang w:eastAsia="zh-CN"/>
              </w:rPr>
              <w:t>、</w:t>
            </w:r>
            <w:r>
              <w:rPr>
                <w:rFonts w:hint="eastAsia" w:ascii="宋体" w:hAnsi="宋体" w:cs="宋体"/>
                <w:color w:val="auto"/>
                <w:szCs w:val="21"/>
                <w:lang w:val="en-US" w:eastAsia="zh-CN"/>
              </w:rPr>
              <w:t>生产批号</w:t>
            </w:r>
            <w:r>
              <w:rPr>
                <w:rFonts w:hint="eastAsia" w:ascii="宋体" w:hAnsi="宋体" w:cs="宋体"/>
                <w:color w:val="auto"/>
                <w:szCs w:val="21"/>
              </w:rPr>
              <w:t>等进行了记录，能做到追溯的目的。</w:t>
            </w:r>
          </w:p>
        </w:tc>
        <w:tc>
          <w:tcPr>
            <w:tcW w:w="1284" w:type="dxa"/>
            <w:vAlign w:val="top"/>
          </w:tcPr>
          <w:p>
            <w:pP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4" w:hRule="atLeast"/>
        </w:trPr>
        <w:tc>
          <w:tcPr>
            <w:tcW w:w="2160" w:type="dxa"/>
          </w:tcPr>
          <w:p>
            <w:pPr>
              <w:rPr>
                <w:rFonts w:ascii="宋体" w:hAnsi="宋体"/>
                <w:b/>
                <w:szCs w:val="21"/>
              </w:rPr>
            </w:pPr>
            <w:r>
              <w:rPr>
                <w:rFonts w:hint="eastAsia" w:ascii="宋体" w:hAnsi="宋体"/>
                <w:szCs w:val="21"/>
              </w:rPr>
              <w:t>顾客或外部供方的财产</w:t>
            </w:r>
          </w:p>
        </w:tc>
        <w:tc>
          <w:tcPr>
            <w:tcW w:w="960" w:type="dxa"/>
          </w:tcPr>
          <w:p>
            <w:pPr>
              <w:spacing w:line="400" w:lineRule="atLeast"/>
              <w:ind w:right="-158" w:rightChars="-75"/>
              <w:rPr>
                <w:rFonts w:ascii="宋体" w:hAnsi="宋体"/>
                <w:szCs w:val="21"/>
              </w:rPr>
            </w:pPr>
            <w:r>
              <w:rPr>
                <w:rFonts w:hint="eastAsia" w:ascii="宋体" w:hAnsi="宋体"/>
                <w:szCs w:val="21"/>
                <w:lang w:val="en-US" w:eastAsia="zh-CN"/>
              </w:rPr>
              <w:t>Q</w:t>
            </w:r>
            <w:r>
              <w:rPr>
                <w:rFonts w:hint="eastAsia" w:ascii="宋体" w:hAnsi="宋体"/>
                <w:szCs w:val="21"/>
              </w:rPr>
              <w:t>8.5.3</w:t>
            </w:r>
          </w:p>
          <w:p>
            <w:pPr>
              <w:adjustRightInd w:val="0"/>
              <w:snapToGrid w:val="0"/>
              <w:jc w:val="center"/>
              <w:rPr>
                <w:rFonts w:ascii="宋体" w:hAnsi="宋体" w:cs="宋体"/>
                <w:b/>
                <w:szCs w:val="21"/>
              </w:rPr>
            </w:pPr>
          </w:p>
        </w:tc>
        <w:tc>
          <w:tcPr>
            <w:tcW w:w="10305" w:type="dxa"/>
          </w:tcPr>
          <w:p>
            <w:pPr>
              <w:adjustRightInd w:val="0"/>
              <w:snapToGrid w:val="0"/>
              <w:spacing w:line="400" w:lineRule="exact"/>
              <w:jc w:val="left"/>
              <w:rPr>
                <w:rFonts w:ascii="宋体" w:hAnsi="宋体" w:cs="宋体"/>
                <w:color w:val="auto"/>
                <w:szCs w:val="21"/>
              </w:rPr>
            </w:pPr>
            <w:r>
              <w:rPr>
                <w:rFonts w:hint="eastAsia" w:ascii="宋体" w:hAnsi="宋体" w:cs="宋体"/>
                <w:color w:val="auto"/>
                <w:szCs w:val="21"/>
              </w:rPr>
              <w:t>公司的顾客的财产有顾客信息、合同，公司对顾客或外部供方财产进行了保存，当顾客或外部供方财产丢失时，应告知顾客或外部供方。</w:t>
            </w:r>
          </w:p>
          <w:p>
            <w:pPr>
              <w:adjustRightInd w:val="0"/>
              <w:snapToGrid w:val="0"/>
              <w:spacing w:line="400" w:lineRule="exact"/>
              <w:jc w:val="left"/>
              <w:rPr>
                <w:rFonts w:ascii="宋体" w:hAnsi="宋体" w:cs="宋体"/>
                <w:color w:val="auto"/>
                <w:szCs w:val="21"/>
              </w:rPr>
            </w:pPr>
            <w:r>
              <w:rPr>
                <w:rFonts w:hint="eastAsia" w:ascii="宋体" w:hAnsi="宋体" w:cs="宋体"/>
                <w:color w:val="auto"/>
                <w:szCs w:val="21"/>
              </w:rPr>
              <w:t>负责人讲目前没有发生顾客或外部供方财产丢失的情况；</w:t>
            </w:r>
          </w:p>
        </w:tc>
        <w:tc>
          <w:tcPr>
            <w:tcW w:w="1284" w:type="dxa"/>
            <w:vAlign w:val="top"/>
          </w:tcPr>
          <w:p>
            <w:pPr>
              <w:rPr>
                <w:rFonts w:ascii="Times New Roman" w:hAnsi="Times New Roman" w:eastAsia="宋体" w:cs="Times New Roman"/>
                <w:kern w:val="2"/>
                <w:sz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4" w:hRule="atLeast"/>
        </w:trPr>
        <w:tc>
          <w:tcPr>
            <w:tcW w:w="2160" w:type="dxa"/>
          </w:tcPr>
          <w:p>
            <w:pPr>
              <w:spacing w:line="400" w:lineRule="exact"/>
              <w:rPr>
                <w:rFonts w:ascii="宋体" w:hAnsi="宋体" w:cs="宋体"/>
                <w:szCs w:val="21"/>
              </w:rPr>
            </w:pPr>
            <w:r>
              <w:rPr>
                <w:rFonts w:hint="eastAsia" w:ascii="宋体" w:hAnsi="宋体"/>
                <w:szCs w:val="21"/>
              </w:rPr>
              <w:t>防护</w:t>
            </w:r>
          </w:p>
        </w:tc>
        <w:tc>
          <w:tcPr>
            <w:tcW w:w="960" w:type="dxa"/>
          </w:tcPr>
          <w:p>
            <w:pPr>
              <w:adjustRightInd w:val="0"/>
              <w:snapToGrid w:val="0"/>
              <w:jc w:val="both"/>
              <w:rPr>
                <w:rFonts w:ascii="宋体" w:hAnsi="宋体" w:cs="宋体"/>
                <w:b/>
                <w:szCs w:val="21"/>
              </w:rPr>
            </w:pPr>
            <w:r>
              <w:rPr>
                <w:rFonts w:hint="eastAsia" w:ascii="宋体" w:hAnsi="宋体"/>
                <w:szCs w:val="21"/>
                <w:lang w:val="en-US" w:eastAsia="zh-CN"/>
              </w:rPr>
              <w:t>Q</w:t>
            </w:r>
            <w:r>
              <w:rPr>
                <w:rFonts w:hint="eastAsia" w:ascii="宋体" w:hAnsi="宋体"/>
                <w:szCs w:val="21"/>
              </w:rPr>
              <w:t>8.5.4</w:t>
            </w:r>
          </w:p>
        </w:tc>
        <w:tc>
          <w:tcPr>
            <w:tcW w:w="10305" w:type="dxa"/>
          </w:tcPr>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查，公司</w:t>
            </w:r>
            <w:r>
              <w:rPr>
                <w:rFonts w:hint="eastAsia" w:ascii="宋体" w:hAnsi="宋体" w:cs="宋体"/>
                <w:color w:val="auto"/>
                <w:szCs w:val="21"/>
                <w:lang w:val="en-US" w:eastAsia="zh-CN"/>
              </w:rPr>
              <w:t>管理</w:t>
            </w:r>
            <w:r>
              <w:rPr>
                <w:rFonts w:hint="eastAsia" w:ascii="宋体" w:hAnsi="宋体" w:cs="宋体"/>
                <w:color w:val="auto"/>
                <w:szCs w:val="21"/>
              </w:rPr>
              <w:t>体系对产品的防护进行了规范，包括：标识、搬运、储存等保护措施。</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现场观察:</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default" w:ascii="宋体" w:hAnsi="宋体" w:eastAsia="宋体" w:cs="宋体"/>
                <w:color w:val="auto"/>
                <w:szCs w:val="21"/>
                <w:lang w:val="en-US" w:eastAsia="zh-CN"/>
              </w:rPr>
            </w:pPr>
            <w:r>
              <w:rPr>
                <w:rFonts w:hint="eastAsia" w:ascii="宋体" w:hAnsi="宋体" w:cs="宋体"/>
                <w:color w:val="auto"/>
                <w:szCs w:val="21"/>
              </w:rPr>
              <w:t>1.标识：工序及交付的产品均采用标识卡进行了标识；</w:t>
            </w:r>
            <w:r>
              <w:rPr>
                <w:rFonts w:hint="eastAsia" w:ascii="宋体" w:hAnsi="宋体" w:cs="宋体"/>
                <w:color w:val="auto"/>
                <w:szCs w:val="21"/>
                <w:lang w:val="en-US" w:eastAsia="zh-CN"/>
              </w:rPr>
              <w:t>生产区域、运输区域单独划分，地上用黄线划分。</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2.搬运：采用叉车进行，未见有损产品质量的野蛮作业。</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3.贮存：公司</w:t>
            </w:r>
            <w:r>
              <w:rPr>
                <w:rFonts w:hint="eastAsia" w:ascii="宋体" w:hAnsi="宋体" w:cs="宋体"/>
                <w:color w:val="auto"/>
                <w:szCs w:val="21"/>
                <w:lang w:eastAsia="zh-CN"/>
              </w:rPr>
              <w:t>生技部</w:t>
            </w:r>
            <w:r>
              <w:rPr>
                <w:rFonts w:hint="eastAsia" w:ascii="宋体" w:hAnsi="宋体" w:cs="宋体"/>
                <w:color w:val="auto"/>
                <w:szCs w:val="21"/>
              </w:rPr>
              <w:t>门有专门的仓库，各种原材料、在制品、成品均贮存在恰当的场所，通风、采光、防潮，条件良好。</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4.查：产品入库，验收、保管有相应的管理程序。有出入库纪录；入库有检验。</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5.库房分区清楚，原料、半成品、成品均分别摆放在不同区域，并加以明显的标识。</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6.现场检查，车间及仓库，各类物资均分类存放，标识明显。消防设施齐全，并在有效期内。</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基本符合要求。</w:t>
            </w:r>
          </w:p>
        </w:tc>
        <w:tc>
          <w:tcPr>
            <w:tcW w:w="1284" w:type="dxa"/>
            <w:vAlign w:val="top"/>
          </w:tcPr>
          <w:p>
            <w:pP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Pr>
          <w:p>
            <w:pPr>
              <w:spacing w:line="400" w:lineRule="exact"/>
              <w:rPr>
                <w:rFonts w:ascii="宋体" w:hAnsi="宋体" w:cs="新宋体"/>
                <w:szCs w:val="21"/>
              </w:rPr>
            </w:pPr>
            <w:r>
              <w:rPr>
                <w:rFonts w:hint="eastAsia" w:ascii="宋体" w:hAnsi="宋体"/>
                <w:szCs w:val="21"/>
              </w:rPr>
              <w:t>更改控制</w:t>
            </w:r>
          </w:p>
        </w:tc>
        <w:tc>
          <w:tcPr>
            <w:tcW w:w="960" w:type="dxa"/>
          </w:tcPr>
          <w:p>
            <w:pPr>
              <w:adjustRightInd w:val="0"/>
              <w:snapToGrid w:val="0"/>
              <w:jc w:val="center"/>
              <w:rPr>
                <w:rFonts w:ascii="宋体" w:hAnsi="宋体" w:cs="宋体"/>
                <w:szCs w:val="21"/>
              </w:rPr>
            </w:pPr>
            <w:r>
              <w:rPr>
                <w:rFonts w:hint="eastAsia" w:ascii="宋体" w:hAnsi="宋体"/>
                <w:szCs w:val="21"/>
                <w:lang w:val="en-US" w:eastAsia="zh-CN"/>
              </w:rPr>
              <w:t>Q</w:t>
            </w:r>
            <w:r>
              <w:rPr>
                <w:rFonts w:hint="eastAsia" w:ascii="宋体" w:hAnsi="宋体"/>
                <w:szCs w:val="21"/>
              </w:rPr>
              <w:t>8.5.6</w:t>
            </w:r>
          </w:p>
        </w:tc>
        <w:tc>
          <w:tcPr>
            <w:tcW w:w="10305" w:type="dxa"/>
          </w:tcPr>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查，公司对产品实现过程的更改策划了管理要求。主要包括：合同更改、产品信息更改等。</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现场查，公司对于更改生产信息的管理，均为重新发放生产计划，并回收作废的计划单。</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查，对于合同信息等更改，必须经过评审，确认能满足要求后方能进行签订，具体按文件管理要求。</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查，近期暂无合同、信息变更的情况。</w:t>
            </w:r>
          </w:p>
        </w:tc>
        <w:tc>
          <w:tcPr>
            <w:tcW w:w="1284" w:type="dxa"/>
            <w:vAlign w:val="top"/>
          </w:tcPr>
          <w:p>
            <w:pPr>
              <w:rPr>
                <w:rFonts w:ascii="Times New Roman" w:hAnsi="Times New Roman" w:eastAsia="宋体" w:cs="Times New Roman"/>
                <w:kern w:val="2"/>
                <w:sz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Cs w:val="21"/>
              </w:rPr>
            </w:pPr>
            <w:r>
              <w:rPr>
                <w:rFonts w:hint="eastAsia" w:ascii="宋体" w:hAnsi="宋体"/>
                <w:szCs w:val="21"/>
              </w:rPr>
              <w:t>产品和服务放行；</w:t>
            </w: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jc w:val="both"/>
              <w:rPr>
                <w:rFonts w:ascii="宋体" w:hAnsi="宋体"/>
                <w:szCs w:val="21"/>
              </w:rPr>
            </w:pPr>
            <w:r>
              <w:rPr>
                <w:rFonts w:hint="eastAsia" w:ascii="宋体" w:hAnsi="宋体"/>
                <w:szCs w:val="21"/>
                <w:lang w:val="en-US" w:eastAsia="zh-CN"/>
              </w:rPr>
              <w:t>Q</w:t>
            </w:r>
            <w:r>
              <w:rPr>
                <w:rFonts w:hint="eastAsia" w:ascii="宋体" w:hAnsi="宋体"/>
                <w:szCs w:val="21"/>
              </w:rPr>
              <w:t>8.6</w:t>
            </w:r>
          </w:p>
        </w:tc>
        <w:tc>
          <w:tcPr>
            <w:tcW w:w="1030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公司为验证产品和服务的要求是否得到满足对需实施监视和检验的阶段、过程、项目及记录等予以规定，查见公司检验规范规定了原材料、生产过程、成品出厂所有产品的检验方法、标准</w:t>
            </w:r>
            <w:r>
              <w:rPr>
                <w:rFonts w:hint="eastAsia" w:ascii="宋体" w:hAnsi="宋体" w:cs="宋体"/>
                <w:color w:val="auto"/>
                <w:szCs w:val="21"/>
                <w:lang w:val="en-US" w:eastAsia="zh-CN"/>
              </w:rPr>
              <w:t>依照顾客的需求要求为准</w:t>
            </w:r>
            <w:r>
              <w:rPr>
                <w:rFonts w:hint="eastAsia" w:ascii="宋体" w:hAnsi="宋体" w:cs="宋体"/>
                <w:color w:val="auto"/>
                <w:szCs w:val="21"/>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公司对特殊放行或紧急放行情况予以界定，原则上，一般情况下不许特殊放行或紧急放行；若特殊情况下，要实施紧急放行时，一定要得到</w:t>
            </w:r>
            <w:r>
              <w:rPr>
                <w:rFonts w:hint="eastAsia" w:ascii="宋体" w:hAnsi="宋体" w:cs="宋体"/>
                <w:color w:val="auto"/>
                <w:szCs w:val="21"/>
                <w:lang w:eastAsia="zh-CN"/>
              </w:rPr>
              <w:t>生技部</w:t>
            </w:r>
            <w:r>
              <w:rPr>
                <w:rFonts w:hint="eastAsia" w:ascii="宋体" w:hAnsi="宋体" w:cs="宋体"/>
                <w:color w:val="auto"/>
                <w:szCs w:val="21"/>
                <w:lang w:val="en-US" w:eastAsia="zh-CN"/>
              </w:rPr>
              <w:t>经理</w:t>
            </w:r>
            <w:r>
              <w:rPr>
                <w:rFonts w:hint="eastAsia" w:ascii="宋体" w:hAnsi="宋体" w:cs="宋体"/>
                <w:color w:val="auto"/>
                <w:szCs w:val="21"/>
              </w:rPr>
              <w:t>许可、公司总经理批准，适用时得到顾客的批准后方可实施。体系运行至今尚未发生特殊放行或紧急放行的情况。</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公司明确对各阶段产品和服务的放行均须实施必要的记录并保留。详见如下输入、过程及输出检验证据抽样</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default" w:ascii="宋体" w:hAnsi="宋体" w:eastAsia="宋体" w:cs="宋体"/>
                <w:color w:val="auto"/>
                <w:szCs w:val="21"/>
                <w:lang w:val="en-US" w:eastAsia="zh-CN"/>
              </w:rPr>
            </w:pPr>
            <w:r>
              <w:rPr>
                <w:rFonts w:hint="eastAsia" w:ascii="宋体" w:hAnsi="宋体" w:cs="宋体"/>
                <w:color w:val="auto"/>
                <w:szCs w:val="21"/>
              </w:rPr>
              <w:t>原材料检验按</w:t>
            </w:r>
            <w:r>
              <w:rPr>
                <w:rFonts w:hint="eastAsia" w:ascii="宋体" w:hAnsi="宋体" w:cs="宋体"/>
                <w:color w:val="auto"/>
                <w:szCs w:val="21"/>
                <w:lang w:val="en-US" w:eastAsia="zh-CN"/>
              </w:rPr>
              <w:t>公司采购要求进行检验</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负责人讲公司对原材料除要验证其外观、规格、数量并让供应商提供</w:t>
            </w:r>
            <w:r>
              <w:rPr>
                <w:rFonts w:hint="eastAsia" w:ascii="宋体" w:hAnsi="宋体" w:cs="宋体"/>
                <w:color w:val="auto"/>
                <w:szCs w:val="21"/>
                <w:lang w:val="en-US" w:eastAsia="zh-CN"/>
              </w:rPr>
              <w:t>检验</w:t>
            </w:r>
            <w:r>
              <w:rPr>
                <w:rFonts w:hint="eastAsia" w:ascii="宋体" w:hAnsi="宋体" w:cs="宋体"/>
                <w:color w:val="auto"/>
                <w:szCs w:val="21"/>
              </w:rPr>
              <w:t>报告外</w:t>
            </w:r>
            <w:r>
              <w:rPr>
                <w:rFonts w:hint="eastAsia" w:ascii="宋体" w:hAnsi="宋体" w:cs="宋体"/>
                <w:color w:val="auto"/>
                <w:szCs w:val="21"/>
                <w:lang w:eastAsia="zh-CN"/>
              </w:rPr>
              <w:t>，</w:t>
            </w:r>
            <w:r>
              <w:rPr>
                <w:rFonts w:hint="eastAsia" w:ascii="宋体" w:hAnsi="宋体" w:cs="宋体"/>
                <w:color w:val="auto"/>
                <w:szCs w:val="21"/>
              </w:rPr>
              <w:t>还对主要原材料抽取样本进行检验</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原料检验主要对基础油的粘度、闪点，凝点，密度，油溶等进行检验。添加剂主要进行粘度，油溶等项目进行检验，提供有原料检验记录数据及记录表：</w:t>
            </w:r>
          </w:p>
          <w:p>
            <w:pPr>
              <w:pStyle w:val="4"/>
              <w:keepNext w:val="0"/>
              <w:keepLines w:val="0"/>
              <w:pageBreakBefore w:val="0"/>
              <w:widowControl w:val="0"/>
              <w:kinsoku/>
              <w:wordWrap/>
              <w:overflowPunct/>
              <w:topLinePunct w:val="0"/>
              <w:autoSpaceDE/>
              <w:autoSpaceDN/>
              <w:bidi w:val="0"/>
              <w:spacing w:before="157" w:beforeLines="50" w:line="240" w:lineRule="auto"/>
              <w:textAlignment w:val="auto"/>
              <w:rPr>
                <w:rFonts w:hint="eastAsia" w:eastAsia="宋体"/>
                <w:color w:val="auto"/>
                <w:lang w:val="en-US" w:eastAsia="zh-CN"/>
              </w:rPr>
            </w:pPr>
            <w:r>
              <w:drawing>
                <wp:inline distT="0" distB="0" distL="114300" distR="114300">
                  <wp:extent cx="2419985" cy="1607185"/>
                  <wp:effectExtent l="0" t="0" r="5715" b="5715"/>
                  <wp:docPr id="2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pic:cNvPicPr>
                            <a:picLocks noChangeAspect="1"/>
                          </pic:cNvPicPr>
                        </pic:nvPicPr>
                        <pic:blipFill>
                          <a:blip r:embed="rId14"/>
                          <a:stretch>
                            <a:fillRect/>
                          </a:stretch>
                        </pic:blipFill>
                        <pic:spPr>
                          <a:xfrm>
                            <a:off x="0" y="0"/>
                            <a:ext cx="2419985" cy="16071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42085" cy="1588770"/>
                  <wp:effectExtent l="0" t="0" r="5715" b="11430"/>
                  <wp:docPr id="2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2"/>
                          <pic:cNvPicPr>
                            <a:picLocks noChangeAspect="1"/>
                          </pic:cNvPicPr>
                        </pic:nvPicPr>
                        <pic:blipFill>
                          <a:blip r:embed="rId15"/>
                          <a:stretch>
                            <a:fillRect/>
                          </a:stretch>
                        </pic:blipFill>
                        <pic:spPr>
                          <a:xfrm>
                            <a:off x="0" y="0"/>
                            <a:ext cx="1442085" cy="1588770"/>
                          </a:xfrm>
                          <a:prstGeom prst="rect">
                            <a:avLst/>
                          </a:prstGeom>
                          <a:noFill/>
                          <a:ln>
                            <a:noFill/>
                          </a:ln>
                        </pic:spPr>
                      </pic:pic>
                    </a:graphicData>
                  </a:graphic>
                </wp:inline>
              </w:drawing>
            </w:r>
            <w:r>
              <w:drawing>
                <wp:inline distT="0" distB="0" distL="114300" distR="114300">
                  <wp:extent cx="2406650" cy="1644650"/>
                  <wp:effectExtent l="0" t="0" r="6350" b="6350"/>
                  <wp:docPr id="2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3"/>
                          <pic:cNvPicPr>
                            <a:picLocks noChangeAspect="1"/>
                          </pic:cNvPicPr>
                        </pic:nvPicPr>
                        <pic:blipFill>
                          <a:blip r:embed="rId16"/>
                          <a:stretch>
                            <a:fillRect/>
                          </a:stretch>
                        </pic:blipFill>
                        <pic:spPr>
                          <a:xfrm>
                            <a:off x="0" y="0"/>
                            <a:ext cx="2406650" cy="16446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hint="default" w:ascii="宋体" w:hAnsi="宋体" w:cs="宋体"/>
                <w:color w:val="auto"/>
                <w:szCs w:val="21"/>
                <w:lang w:val="en-US" w:eastAsia="zh-CN"/>
              </w:rPr>
            </w:pPr>
            <w:r>
              <w:rPr>
                <w:rFonts w:hint="eastAsia" w:ascii="宋体" w:hAnsi="宋体" w:cs="宋体"/>
                <w:color w:val="auto"/>
                <w:szCs w:val="21"/>
                <w:lang w:val="en-US" w:eastAsia="zh-CN"/>
              </w:rPr>
              <w:t>如发生原料检验不符合采购要求的，作退货处理。</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hint="eastAsia" w:ascii="宋体" w:hAnsi="宋体" w:cs="宋体"/>
                <w:color w:val="auto"/>
                <w:szCs w:val="21"/>
              </w:rPr>
            </w:pPr>
            <w:r>
              <w:rPr>
                <w:rFonts w:hint="eastAsia" w:ascii="宋体" w:hAnsi="宋体" w:cs="宋体"/>
                <w:color w:val="auto"/>
                <w:szCs w:val="21"/>
              </w:rPr>
              <w:t>查，体系运行以来，公司未发生</w:t>
            </w:r>
            <w:r>
              <w:rPr>
                <w:rFonts w:hint="eastAsia" w:ascii="宋体" w:hAnsi="宋体" w:cs="宋体"/>
                <w:color w:val="auto"/>
                <w:szCs w:val="21"/>
                <w:lang w:val="en-US" w:eastAsia="zh-CN"/>
              </w:rPr>
              <w:t>不合格</w:t>
            </w:r>
            <w:r>
              <w:rPr>
                <w:rFonts w:hint="eastAsia" w:ascii="宋体" w:hAnsi="宋体" w:cs="宋体"/>
                <w:color w:val="auto"/>
                <w:szCs w:val="21"/>
              </w:rPr>
              <w:t>的情况，基本符合要求。</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ascii="宋体" w:hAnsi="宋体" w:cs="宋体"/>
                <w:color w:val="auto"/>
                <w:szCs w:val="21"/>
              </w:rPr>
            </w:pPr>
            <w:r>
              <w:rPr>
                <w:rFonts w:hint="eastAsia" w:ascii="宋体" w:hAnsi="宋体" w:cs="宋体"/>
                <w:color w:val="auto"/>
                <w:szCs w:val="21"/>
              </w:rPr>
              <w:t>二、过程检验：依据</w:t>
            </w:r>
            <w:r>
              <w:rPr>
                <w:rFonts w:hint="eastAsia" w:ascii="宋体" w:hAnsi="宋体" w:cs="宋体"/>
                <w:color w:val="auto"/>
                <w:szCs w:val="21"/>
                <w:lang w:val="en-US" w:eastAsia="zh-CN"/>
              </w:rPr>
              <w:t>顾客提出</w:t>
            </w:r>
            <w:r>
              <w:rPr>
                <w:rFonts w:hint="eastAsia" w:ascii="宋体" w:hAnsi="宋体" w:cs="宋体"/>
                <w:color w:val="auto"/>
                <w:szCs w:val="21"/>
              </w:rPr>
              <w:t>要求</w:t>
            </w:r>
            <w:r>
              <w:rPr>
                <w:rFonts w:hint="eastAsia" w:ascii="宋体" w:hAnsi="宋体" w:cs="宋体"/>
                <w:color w:val="auto"/>
                <w:szCs w:val="21"/>
                <w:lang w:val="en-US" w:eastAsia="zh-CN"/>
              </w:rPr>
              <w:t>进行</w:t>
            </w:r>
            <w:r>
              <w:rPr>
                <w:rFonts w:hint="eastAsia" w:ascii="宋体" w:hAnsi="宋体" w:cs="宋体"/>
                <w:color w:val="auto"/>
                <w:szCs w:val="21"/>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过程检验主要为搅拌工序完成后采样检验</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过程检验内容：粘度，凝点，闪点等</w:t>
            </w:r>
          </w:p>
          <w:p>
            <w:pPr>
              <w:pStyle w:val="4"/>
              <w:keepNext w:val="0"/>
              <w:keepLines w:val="0"/>
              <w:pageBreakBefore w:val="0"/>
              <w:widowControl w:val="0"/>
              <w:kinsoku/>
              <w:wordWrap/>
              <w:overflowPunct/>
              <w:topLinePunct w:val="0"/>
              <w:autoSpaceDE/>
              <w:autoSpaceDN/>
              <w:bidi w:val="0"/>
              <w:spacing w:before="157" w:beforeLines="50" w:line="240" w:lineRule="auto"/>
              <w:ind w:firstLine="420" w:firstLineChars="200"/>
              <w:textAlignment w:val="auto"/>
              <w:rPr>
                <w:rFonts w:hint="eastAsia" w:ascii="宋体" w:hAnsi="宋体" w:cs="宋体"/>
                <w:color w:val="auto"/>
                <w:sz w:val="21"/>
                <w:szCs w:val="21"/>
                <w:lang w:val="en-US" w:eastAsia="zh-CN"/>
              </w:rPr>
            </w:pPr>
            <w:r>
              <w:rPr>
                <w:rFonts w:hint="eastAsia" w:ascii="宋体" w:hAnsi="宋体" w:cs="宋体"/>
                <w:color w:val="auto"/>
                <w:sz w:val="21"/>
                <w:szCs w:val="21"/>
                <w:lang w:val="en-US" w:eastAsia="zh-CN"/>
              </w:rPr>
              <w:t>提供有过程项目检验记录</w:t>
            </w:r>
          </w:p>
          <w:p>
            <w:pPr>
              <w:pStyle w:val="4"/>
              <w:keepNext w:val="0"/>
              <w:keepLines w:val="0"/>
              <w:pageBreakBefore w:val="0"/>
              <w:widowControl w:val="0"/>
              <w:kinsoku/>
              <w:wordWrap/>
              <w:overflowPunct/>
              <w:topLinePunct w:val="0"/>
              <w:autoSpaceDE/>
              <w:autoSpaceDN/>
              <w:bidi w:val="0"/>
              <w:spacing w:before="157" w:beforeLines="50" w:line="240" w:lineRule="auto"/>
              <w:ind w:firstLine="420" w:firstLineChars="200"/>
              <w:textAlignment w:val="auto"/>
              <w:rPr>
                <w:rFonts w:hint="default" w:ascii="宋体" w:hAnsi="宋体" w:cs="宋体"/>
                <w:color w:val="auto"/>
                <w:sz w:val="21"/>
                <w:szCs w:val="21"/>
                <w:lang w:val="en-US" w:eastAsia="zh-CN"/>
              </w:rPr>
            </w:pPr>
            <w:r>
              <w:rPr>
                <w:rFonts w:hint="default" w:ascii="宋体" w:hAnsi="宋体" w:cs="宋体"/>
                <w:color w:val="auto"/>
                <w:sz w:val="21"/>
                <w:szCs w:val="21"/>
                <w:lang w:val="en-US" w:eastAsia="zh-CN"/>
              </w:rPr>
              <w:drawing>
                <wp:inline distT="0" distB="0" distL="114300" distR="114300">
                  <wp:extent cx="1630680" cy="1953260"/>
                  <wp:effectExtent l="0" t="0" r="7620" b="2540"/>
                  <wp:docPr id="22" name="图片 22" descr="微信图片_20220218160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微信图片_20220218160312"/>
                          <pic:cNvPicPr>
                            <a:picLocks noChangeAspect="1"/>
                          </pic:cNvPicPr>
                        </pic:nvPicPr>
                        <pic:blipFill>
                          <a:blip r:embed="rId17"/>
                          <a:stretch>
                            <a:fillRect/>
                          </a:stretch>
                        </pic:blipFill>
                        <pic:spPr>
                          <a:xfrm>
                            <a:off x="0" y="0"/>
                            <a:ext cx="1630680" cy="1953260"/>
                          </a:xfrm>
                          <a:prstGeom prst="rect">
                            <a:avLst/>
                          </a:prstGeom>
                        </pic:spPr>
                      </pic:pic>
                    </a:graphicData>
                  </a:graphic>
                </wp:inline>
              </w:drawing>
            </w:r>
            <w:r>
              <w:rPr>
                <w:rFonts w:hint="default" w:ascii="宋体" w:hAnsi="宋体" w:cs="宋体"/>
                <w:color w:val="auto"/>
                <w:sz w:val="21"/>
                <w:szCs w:val="21"/>
                <w:lang w:val="en-US" w:eastAsia="zh-CN"/>
              </w:rPr>
              <w:drawing>
                <wp:inline distT="0" distB="0" distL="114300" distR="114300">
                  <wp:extent cx="1623695" cy="1963420"/>
                  <wp:effectExtent l="0" t="0" r="1905" b="5080"/>
                  <wp:docPr id="25" name="图片 25" descr="微信图片_20220218160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微信图片_20220218160318"/>
                          <pic:cNvPicPr>
                            <a:picLocks noChangeAspect="1"/>
                          </pic:cNvPicPr>
                        </pic:nvPicPr>
                        <pic:blipFill>
                          <a:blip r:embed="rId18"/>
                          <a:stretch>
                            <a:fillRect/>
                          </a:stretch>
                        </pic:blipFill>
                        <pic:spPr>
                          <a:xfrm>
                            <a:off x="0" y="0"/>
                            <a:ext cx="1623695" cy="1963420"/>
                          </a:xfrm>
                          <a:prstGeom prst="rect">
                            <a:avLst/>
                          </a:prstGeom>
                        </pic:spPr>
                      </pic:pic>
                    </a:graphicData>
                  </a:graphic>
                </wp:inline>
              </w:drawing>
            </w:r>
            <w:r>
              <w:rPr>
                <w:rFonts w:hint="eastAsia" w:ascii="宋体" w:hAnsi="宋体" w:cs="宋体"/>
                <w:color w:val="auto"/>
                <w:sz w:val="21"/>
                <w:szCs w:val="21"/>
                <w:lang w:val="en-US" w:eastAsia="zh-CN"/>
              </w:rPr>
              <w:t xml:space="preserve"> </w:t>
            </w:r>
            <w:r>
              <w:drawing>
                <wp:inline distT="0" distB="0" distL="114300" distR="114300">
                  <wp:extent cx="1536700" cy="1936750"/>
                  <wp:effectExtent l="0" t="0" r="0" b="6350"/>
                  <wp:docPr id="30"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4"/>
                          <pic:cNvPicPr>
                            <a:picLocks noChangeAspect="1"/>
                          </pic:cNvPicPr>
                        </pic:nvPicPr>
                        <pic:blipFill>
                          <a:blip r:embed="rId19"/>
                          <a:stretch>
                            <a:fillRect/>
                          </a:stretch>
                        </pic:blipFill>
                        <pic:spPr>
                          <a:xfrm>
                            <a:off x="0" y="0"/>
                            <a:ext cx="1536700" cy="1936750"/>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根据检验过程中出现的不符合顾客要求的，在搅拌工序进行调整补充添加剂或基础油。</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因多年生产经验和成熟的生产工艺，自体系建立以来无不合格情况发生</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ascii="宋体" w:hAnsi="宋体" w:cs="宋体"/>
                <w:color w:val="auto"/>
                <w:szCs w:val="21"/>
              </w:rPr>
            </w:pPr>
            <w:r>
              <w:rPr>
                <w:rFonts w:hint="eastAsia" w:ascii="宋体" w:hAnsi="宋体" w:cs="宋体"/>
                <w:color w:val="auto"/>
                <w:szCs w:val="21"/>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ascii="宋体" w:hAnsi="宋体" w:cs="宋体"/>
                <w:color w:val="auto"/>
                <w:szCs w:val="21"/>
              </w:rPr>
            </w:pPr>
            <w:r>
              <w:rPr>
                <w:rFonts w:hint="eastAsia" w:ascii="宋体" w:hAnsi="宋体" w:cs="宋体"/>
                <w:color w:val="auto"/>
                <w:szCs w:val="21"/>
                <w:lang w:val="en-US" w:eastAsia="zh-CN"/>
              </w:rPr>
              <w:t>三：完成生产后，对成品进行取样留存检验：</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提供有成品检验报告，出示公司的产品化验单：</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color w:val="auto"/>
              </w:rPr>
            </w:pPr>
            <w:r>
              <w:drawing>
                <wp:inline distT="0" distB="0" distL="114300" distR="114300">
                  <wp:extent cx="1562100" cy="1994535"/>
                  <wp:effectExtent l="0" t="0" r="0" b="12065"/>
                  <wp:docPr id="1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6"/>
                          <pic:cNvPicPr>
                            <a:picLocks noChangeAspect="1"/>
                          </pic:cNvPicPr>
                        </pic:nvPicPr>
                        <pic:blipFill>
                          <a:blip r:embed="rId20"/>
                          <a:stretch>
                            <a:fillRect/>
                          </a:stretch>
                        </pic:blipFill>
                        <pic:spPr>
                          <a:xfrm>
                            <a:off x="0" y="0"/>
                            <a:ext cx="1562100" cy="199453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cs="宋体"/>
                <w:color w:val="auto"/>
                <w:szCs w:val="21"/>
                <w:lang w:val="en-US" w:eastAsia="zh-CN"/>
              </w:rPr>
            </w:pPr>
            <w:r>
              <w:rPr>
                <w:rFonts w:hint="eastAsia" w:ascii="宋体" w:hAnsi="宋体" w:cs="宋体"/>
                <w:color w:val="auto"/>
                <w:szCs w:val="21"/>
                <w:lang w:val="en-US" w:eastAsia="zh-CN"/>
              </w:rPr>
              <w:t>企业依据客户要求，对部分产品进行送外检验，提供有第三方检验报告，见附件。</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ascii="宋体" w:hAnsi="宋体" w:eastAsia="宋体" w:cs="宋体"/>
                <w:color w:val="auto"/>
                <w:szCs w:val="21"/>
                <w:lang w:val="en-US" w:eastAsia="zh-CN"/>
              </w:rPr>
            </w:pPr>
            <w:r>
              <w:drawing>
                <wp:inline distT="0" distB="0" distL="114300" distR="114300">
                  <wp:extent cx="1555750" cy="1797685"/>
                  <wp:effectExtent l="0" t="0" r="6350" b="5715"/>
                  <wp:docPr id="2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7"/>
                          <pic:cNvPicPr>
                            <a:picLocks noChangeAspect="1"/>
                          </pic:cNvPicPr>
                        </pic:nvPicPr>
                        <pic:blipFill>
                          <a:blip r:embed="rId21"/>
                          <a:stretch>
                            <a:fillRect/>
                          </a:stretch>
                        </pic:blipFill>
                        <pic:spPr>
                          <a:xfrm>
                            <a:off x="0" y="0"/>
                            <a:ext cx="1555750" cy="179768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435735" cy="1853565"/>
                  <wp:effectExtent l="0" t="0" r="12065" b="635"/>
                  <wp:docPr id="2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8"/>
                          <pic:cNvPicPr>
                            <a:picLocks noChangeAspect="1"/>
                          </pic:cNvPicPr>
                        </pic:nvPicPr>
                        <pic:blipFill>
                          <a:blip r:embed="rId22"/>
                          <a:stretch>
                            <a:fillRect/>
                          </a:stretch>
                        </pic:blipFill>
                        <pic:spPr>
                          <a:xfrm>
                            <a:off x="0" y="0"/>
                            <a:ext cx="1435735" cy="1853565"/>
                          </a:xfrm>
                          <a:prstGeom prst="rect">
                            <a:avLst/>
                          </a:prstGeom>
                          <a:noFill/>
                          <a:ln>
                            <a:noFill/>
                          </a:ln>
                        </pic:spPr>
                      </pic:pic>
                    </a:graphicData>
                  </a:graphic>
                </wp:inline>
              </w:drawing>
            </w:r>
            <w:r>
              <w:rPr>
                <w:rFonts w:hint="eastAsia"/>
                <w:lang w:val="en-US" w:eastAsia="zh-CN"/>
              </w:rPr>
              <w:t xml:space="preserve"> </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经查，公司至今，没有原辅料、半成品、成品让步放行的情况，产品的放行均有授权的</w:t>
            </w:r>
            <w:r>
              <w:rPr>
                <w:rFonts w:hint="eastAsia" w:ascii="宋体" w:hAnsi="宋体" w:cs="宋体"/>
                <w:color w:val="auto"/>
                <w:szCs w:val="21"/>
                <w:lang w:val="en-US" w:eastAsia="zh-CN"/>
              </w:rPr>
              <w:t>检验</w:t>
            </w:r>
            <w:r>
              <w:rPr>
                <w:rFonts w:hint="eastAsia" w:ascii="宋体" w:hAnsi="宋体" w:cs="宋体"/>
                <w:color w:val="auto"/>
                <w:szCs w:val="21"/>
              </w:rPr>
              <w:t xml:space="preserve">人员的签字。 </w:t>
            </w:r>
          </w:p>
        </w:tc>
        <w:tc>
          <w:tcPr>
            <w:tcW w:w="1284" w:type="dxa"/>
            <w:tcBorders>
              <w:top w:val="single" w:color="auto" w:sz="4" w:space="0"/>
              <w:left w:val="single" w:color="auto" w:sz="4" w:space="0"/>
              <w:bottom w:val="single" w:color="auto" w:sz="4" w:space="0"/>
              <w:right w:val="single" w:color="auto" w:sz="4" w:space="0"/>
            </w:tcBorders>
            <w:vAlign w:val="top"/>
          </w:tcPr>
          <w:p>
            <w:pP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Borders>
              <w:top w:val="single" w:color="auto" w:sz="4" w:space="0"/>
              <w:left w:val="single" w:color="auto" w:sz="4" w:space="0"/>
              <w:bottom w:val="single" w:color="auto" w:sz="4" w:space="0"/>
              <w:right w:val="single" w:color="auto" w:sz="4" w:space="0"/>
            </w:tcBorders>
          </w:tcPr>
          <w:p>
            <w:pPr>
              <w:spacing w:line="400" w:lineRule="exact"/>
              <w:rPr>
                <w:rFonts w:ascii="宋体" w:hAnsi="宋体"/>
                <w:szCs w:val="21"/>
              </w:rPr>
            </w:pPr>
            <w:r>
              <w:rPr>
                <w:rFonts w:hint="eastAsia" w:ascii="宋体" w:hAnsi="宋体"/>
                <w:szCs w:val="21"/>
              </w:rPr>
              <w:t>不合格输出的控制</w:t>
            </w:r>
          </w:p>
        </w:tc>
        <w:tc>
          <w:tcPr>
            <w:tcW w:w="960" w:type="dxa"/>
            <w:tcBorders>
              <w:top w:val="single" w:color="auto" w:sz="4" w:space="0"/>
              <w:left w:val="single" w:color="auto" w:sz="4" w:space="0"/>
              <w:bottom w:val="single" w:color="auto" w:sz="4" w:space="0"/>
              <w:right w:val="single" w:color="auto" w:sz="4" w:space="0"/>
            </w:tcBorders>
          </w:tcPr>
          <w:p>
            <w:pPr>
              <w:adjustRightInd w:val="0"/>
              <w:snapToGrid w:val="0"/>
              <w:jc w:val="center"/>
              <w:rPr>
                <w:rFonts w:ascii="宋体" w:hAnsi="宋体"/>
                <w:szCs w:val="21"/>
              </w:rPr>
            </w:pPr>
            <w:r>
              <w:rPr>
                <w:rFonts w:hint="eastAsia" w:ascii="宋体" w:hAnsi="宋体"/>
                <w:szCs w:val="21"/>
              </w:rPr>
              <w:t>Q8.7</w:t>
            </w:r>
          </w:p>
        </w:tc>
        <w:tc>
          <w:tcPr>
            <w:tcW w:w="10305" w:type="dxa"/>
            <w:tcBorders>
              <w:top w:val="single" w:color="auto" w:sz="4" w:space="0"/>
              <w:left w:val="single" w:color="auto" w:sz="4" w:space="0"/>
              <w:bottom w:val="single" w:color="auto" w:sz="4" w:space="0"/>
              <w:right w:val="single" w:color="auto" w:sz="4" w:space="0"/>
            </w:tcBorders>
          </w:tcPr>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公司明确各类、各阶段的不合格的控制管控要求，包括输入（来料）阶段、过程监视和测量阶段、输出（出货）阶段的不合格之识别、确定、标识、处置措施等，详见《不合格控制程序》</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ascii="宋体" w:hAnsi="宋体" w:cs="宋体"/>
                <w:color w:val="auto"/>
                <w:szCs w:val="21"/>
              </w:rPr>
            </w:pPr>
            <w:r>
              <w:rPr>
                <w:rFonts w:hint="eastAsia" w:ascii="宋体" w:hAnsi="宋体" w:cs="宋体"/>
                <w:color w:val="auto"/>
                <w:szCs w:val="21"/>
              </w:rPr>
              <w:t>---公司明确并实施处置不合格输出的途径包括以下几方面：</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ascii="宋体" w:hAnsi="宋体" w:cs="宋体"/>
                <w:color w:val="auto"/>
                <w:szCs w:val="21"/>
              </w:rPr>
            </w:pPr>
            <w:r>
              <w:rPr>
                <w:rFonts w:hint="eastAsia" w:ascii="宋体" w:hAnsi="宋体" w:cs="宋体"/>
                <w:color w:val="auto"/>
                <w:szCs w:val="21"/>
              </w:rPr>
              <w:t>a）纠正；</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ascii="宋体" w:hAnsi="宋体" w:cs="宋体"/>
                <w:color w:val="auto"/>
                <w:szCs w:val="21"/>
              </w:rPr>
            </w:pPr>
            <w:r>
              <w:rPr>
                <w:rFonts w:hint="eastAsia" w:ascii="宋体" w:hAnsi="宋体" w:cs="宋体"/>
                <w:color w:val="auto"/>
                <w:szCs w:val="21"/>
              </w:rPr>
              <w:t>b）隔离、限制、退货或暂停；</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ascii="宋体" w:hAnsi="宋体" w:cs="宋体"/>
                <w:color w:val="auto"/>
                <w:szCs w:val="21"/>
              </w:rPr>
            </w:pPr>
            <w:r>
              <w:rPr>
                <w:rFonts w:hint="eastAsia" w:ascii="宋体" w:hAnsi="宋体" w:cs="宋体"/>
                <w:color w:val="auto"/>
                <w:szCs w:val="21"/>
              </w:rPr>
              <w:t>c）告知顾客；</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ascii="宋体" w:hAnsi="宋体" w:cs="宋体"/>
                <w:color w:val="auto"/>
                <w:szCs w:val="21"/>
              </w:rPr>
            </w:pPr>
            <w:r>
              <w:rPr>
                <w:rFonts w:hint="eastAsia" w:ascii="宋体" w:hAnsi="宋体" w:cs="宋体"/>
                <w:color w:val="auto"/>
                <w:szCs w:val="21"/>
              </w:rPr>
              <w:t>d）获得让步接收的授权。</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ind w:firstLine="420" w:firstLineChars="200"/>
              <w:jc w:val="left"/>
              <w:textAlignment w:val="auto"/>
              <w:rPr>
                <w:rFonts w:ascii="宋体" w:hAnsi="宋体" w:cs="宋体"/>
                <w:color w:val="auto"/>
                <w:szCs w:val="21"/>
              </w:rPr>
            </w:pPr>
            <w:r>
              <w:rPr>
                <w:rFonts w:hint="eastAsia" w:ascii="宋体" w:hAnsi="宋体" w:cs="宋体"/>
                <w:color w:val="auto"/>
                <w:szCs w:val="21"/>
              </w:rPr>
              <w:t>---公司明确并实施对不合格的处置方法选择、采取措施的程度取决于不合格的性质及其对产品和服务的影响程度。</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公司明确并实施对适用于纠正的不合格输出，在进行纠正之后须实施再验证。</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公司明确并实施不合格处置后须保留含以下内容的记录</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ascii="宋体" w:hAnsi="宋体" w:cs="宋体"/>
                <w:color w:val="auto"/>
                <w:szCs w:val="21"/>
              </w:rPr>
            </w:pPr>
            <w:r>
              <w:rPr>
                <w:rFonts w:hint="eastAsia" w:ascii="宋体" w:hAnsi="宋体" w:cs="宋体"/>
                <w:color w:val="auto"/>
                <w:szCs w:val="21"/>
              </w:rPr>
              <w:t>a）有关不合格的描述；</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ascii="宋体" w:hAnsi="宋体" w:cs="宋体"/>
                <w:color w:val="auto"/>
                <w:szCs w:val="21"/>
              </w:rPr>
            </w:pPr>
            <w:r>
              <w:rPr>
                <w:rFonts w:hint="eastAsia" w:ascii="宋体" w:hAnsi="宋体" w:cs="宋体"/>
                <w:color w:val="auto"/>
                <w:szCs w:val="21"/>
              </w:rPr>
              <w:t>b）所采取措施的描述；</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ascii="宋体" w:hAnsi="宋体" w:cs="宋体"/>
                <w:color w:val="auto"/>
                <w:szCs w:val="21"/>
              </w:rPr>
            </w:pPr>
            <w:r>
              <w:rPr>
                <w:rFonts w:hint="eastAsia" w:ascii="宋体" w:hAnsi="宋体" w:cs="宋体"/>
                <w:color w:val="auto"/>
                <w:szCs w:val="21"/>
              </w:rPr>
              <w:t>c）获得让步的描述；</w:t>
            </w:r>
          </w:p>
          <w:p>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jc w:val="left"/>
              <w:textAlignment w:val="auto"/>
              <w:rPr>
                <w:rFonts w:ascii="宋体" w:hAnsi="宋体" w:cs="宋体"/>
                <w:color w:val="auto"/>
                <w:szCs w:val="21"/>
              </w:rPr>
            </w:pPr>
            <w:r>
              <w:rPr>
                <w:rFonts w:hint="eastAsia" w:ascii="宋体" w:hAnsi="宋体" w:cs="宋体"/>
                <w:color w:val="auto"/>
                <w:szCs w:val="21"/>
              </w:rPr>
              <w:t>d）处置不合格的授权标识。</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公司编制了《不合格品控制程序》，对不合格品的控制及其职责、权限及要求进行了规定。</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ascii="宋体" w:hAnsi="宋体" w:cs="宋体"/>
                <w:color w:val="auto"/>
                <w:szCs w:val="21"/>
              </w:rPr>
            </w:pPr>
            <w:r>
              <w:rPr>
                <w:rFonts w:hint="eastAsia" w:ascii="宋体" w:hAnsi="宋体" w:cs="宋体"/>
                <w:color w:val="auto"/>
                <w:szCs w:val="21"/>
              </w:rPr>
              <w:t>抽查，</w:t>
            </w:r>
            <w:r>
              <w:rPr>
                <w:rFonts w:hint="eastAsia" w:ascii="宋体" w:hAnsi="宋体" w:cs="宋体"/>
                <w:color w:val="auto"/>
                <w:szCs w:val="21"/>
                <w:lang w:val="en-US" w:eastAsia="zh-CN"/>
              </w:rPr>
              <w:t>公司工艺流程成熟，过程生产把控严格，暂无</w:t>
            </w:r>
            <w:r>
              <w:rPr>
                <w:rFonts w:hint="eastAsia" w:ascii="宋体" w:hAnsi="宋体" w:cs="宋体"/>
                <w:color w:val="auto"/>
                <w:szCs w:val="21"/>
              </w:rPr>
              <w:t>不符合</w:t>
            </w:r>
            <w:r>
              <w:rPr>
                <w:rFonts w:hint="eastAsia" w:ascii="宋体" w:hAnsi="宋体" w:cs="宋体"/>
                <w:color w:val="auto"/>
                <w:szCs w:val="21"/>
                <w:lang w:val="en-US" w:eastAsia="zh-CN"/>
              </w:rPr>
              <w:t>情况发生</w:t>
            </w:r>
            <w:r>
              <w:rPr>
                <w:rFonts w:hint="eastAsia" w:ascii="宋体" w:hAnsi="宋体" w:cs="宋体"/>
                <w:color w:val="auto"/>
                <w:szCs w:val="21"/>
              </w:rPr>
              <w:t>。</w:t>
            </w:r>
          </w:p>
        </w:tc>
        <w:tc>
          <w:tcPr>
            <w:tcW w:w="1284" w:type="dxa"/>
            <w:tcBorders>
              <w:top w:val="single" w:color="auto" w:sz="4" w:space="0"/>
              <w:left w:val="single" w:color="auto" w:sz="4" w:space="0"/>
              <w:bottom w:val="single" w:color="auto" w:sz="4" w:space="0"/>
              <w:right w:val="single" w:color="auto" w:sz="4" w:space="0"/>
            </w:tcBorders>
            <w:vAlign w:val="top"/>
          </w:tcPr>
          <w:p>
            <w:pPr>
              <w:rPr>
                <w:rFonts w:ascii="Times New Roman" w:hAnsi="Times New Roman" w:eastAsia="宋体" w:cs="Times New Roman"/>
                <w:kern w:val="2"/>
                <w:sz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Borders>
              <w:top w:val="single" w:color="auto" w:sz="4" w:space="0"/>
              <w:left w:val="single" w:color="auto" w:sz="4" w:space="0"/>
              <w:bottom w:val="single" w:color="auto" w:sz="4" w:space="0"/>
              <w:right w:val="single" w:color="auto" w:sz="4" w:space="0"/>
            </w:tcBorders>
            <w:vAlign w:val="top"/>
          </w:tcPr>
          <w:p>
            <w:pPr>
              <w:adjustRightInd w:val="0"/>
              <w:snapToGrid w:val="0"/>
              <w:jc w:val="center"/>
              <w:rPr>
                <w:rFonts w:hint="eastAsia" w:ascii="宋体" w:hAnsi="宋体" w:eastAsia="宋体" w:cs="新宋体"/>
                <w:kern w:val="2"/>
                <w:sz w:val="21"/>
                <w:szCs w:val="21"/>
                <w:lang w:val="en-US" w:eastAsia="zh-CN" w:bidi="ar-SA"/>
              </w:rPr>
            </w:pPr>
            <w:r>
              <w:rPr>
                <w:rFonts w:hint="eastAsia" w:ascii="宋体" w:hAnsi="宋体" w:cs="新宋体"/>
                <w:szCs w:val="21"/>
              </w:rPr>
              <w:t>运行策划和控制</w:t>
            </w:r>
          </w:p>
        </w:tc>
        <w:tc>
          <w:tcPr>
            <w:tcW w:w="96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新宋体"/>
                <w:kern w:val="2"/>
                <w:sz w:val="21"/>
                <w:szCs w:val="21"/>
                <w:lang w:val="en-US" w:eastAsia="zh-CN" w:bidi="ar-SA"/>
              </w:rPr>
            </w:pPr>
            <w:r>
              <w:rPr>
                <w:rFonts w:hint="eastAsia" w:ascii="宋体" w:hAnsi="宋体" w:cs="新宋体"/>
                <w:szCs w:val="21"/>
              </w:rPr>
              <w:t>E8.1 </w:t>
            </w:r>
          </w:p>
        </w:tc>
        <w:tc>
          <w:tcPr>
            <w:tcW w:w="10305" w:type="dxa"/>
            <w:tcBorders>
              <w:top w:val="single" w:color="auto" w:sz="4" w:space="0"/>
              <w:left w:val="single" w:color="auto" w:sz="4" w:space="0"/>
              <w:bottom w:val="single" w:color="auto" w:sz="4" w:space="0"/>
              <w:right w:val="single" w:color="auto" w:sz="4" w:space="0"/>
            </w:tcBorders>
            <w:vAlign w:val="top"/>
          </w:tcPr>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rPr>
              <w:t>现场查看，重要环境因素控制</w:t>
            </w:r>
            <w:r>
              <w:rPr>
                <w:rFonts w:hint="eastAsia"/>
                <w:lang w:val="en-US" w:eastAsia="zh-CN"/>
              </w:rPr>
              <w:t>情况：</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rPr>
              <w:t>1、固废排放管理：</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rPr>
              <w:t>查，办公环节的主要固废为：废纸、废办公用品、以及生活垃圾等。现采取集中收集，交由环卫处理。在办公公共区域内垃圾桶标识明确。</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rPr>
              <w:t>生产过程的固废有：车间扫地灰、</w:t>
            </w:r>
            <w:r>
              <w:rPr>
                <w:rFonts w:hint="eastAsia"/>
                <w:lang w:val="en-US" w:eastAsia="zh-CN"/>
              </w:rPr>
              <w:t>废弃包装物等固废，以及生产过程中废含油面纱，过滤丝网，生产过程中废过滤物，除尘设备更换的废活性炭</w:t>
            </w:r>
            <w:r>
              <w:rPr>
                <w:rFonts w:hint="eastAsia"/>
              </w:rPr>
              <w:t>等</w:t>
            </w:r>
            <w:r>
              <w:rPr>
                <w:rFonts w:hint="eastAsia"/>
                <w:lang w:val="en-US" w:eastAsia="zh-CN"/>
              </w:rPr>
              <w:t>危废</w:t>
            </w:r>
            <w:r>
              <w:rPr>
                <w:rFonts w:hint="eastAsia"/>
              </w:rPr>
              <w:t>。</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lang w:val="en-US" w:eastAsia="zh-CN"/>
              </w:rPr>
            </w:pPr>
            <w:r>
              <w:rPr>
                <w:rFonts w:hint="eastAsia"/>
              </w:rPr>
              <w:t>处理方式：</w:t>
            </w:r>
            <w:r>
              <w:rPr>
                <w:rFonts w:hint="eastAsia"/>
                <w:lang w:val="en-US" w:eastAsia="zh-CN"/>
              </w:rPr>
              <w:t>1）</w:t>
            </w:r>
            <w:r>
              <w:rPr>
                <w:rFonts w:hint="eastAsia"/>
              </w:rPr>
              <w:t>车间扫地灰、</w:t>
            </w:r>
            <w:r>
              <w:rPr>
                <w:rFonts w:hint="eastAsia"/>
                <w:lang w:val="en-US" w:eastAsia="zh-CN"/>
              </w:rPr>
              <w:t>废弃包装物等固废分类存放，可回收固废外卖，不可回收交环卫部门处理。有分类垃圾收集桶</w:t>
            </w:r>
            <w:r>
              <w:rPr>
                <w:rFonts w:hint="eastAsia"/>
              </w:rPr>
              <w:t>。</w:t>
            </w:r>
            <w:r>
              <w:rPr>
                <w:rFonts w:hint="eastAsia"/>
                <w:lang w:val="en-US" w:eastAsia="zh-CN"/>
              </w:rPr>
              <w:t>危废处置：设有危废库，危废库外有危废库标示，内部作防渗漏处理，设有防流失栏。产生的废活性炭，废含油面纱，过滤丝网，废过滤物等分类收集存放。提供有与河北福仁环保科技有限公司签订的《危废处理协议》，签订时间：2022年4月15日-2023年4月14日。</w:t>
            </w:r>
          </w:p>
          <w:p>
            <w:pPr>
              <w:pStyle w:val="4"/>
              <w:keepNext w:val="0"/>
              <w:keepLines w:val="0"/>
              <w:pageBreakBefore w:val="0"/>
              <w:widowControl w:val="0"/>
              <w:numPr>
                <w:ilvl w:val="0"/>
                <w:numId w:val="0"/>
              </w:numPr>
              <w:kinsoku/>
              <w:wordWrap/>
              <w:overflowPunct/>
              <w:topLinePunct w:val="0"/>
              <w:autoSpaceDE/>
              <w:autoSpaceDN/>
              <w:bidi w:val="0"/>
              <w:spacing w:before="157" w:beforeLines="50" w:after="0" w:line="240" w:lineRule="auto"/>
              <w:textAlignment w:val="auto"/>
              <w:rPr>
                <w:rFonts w:hint="default"/>
                <w:lang w:val="en-US" w:eastAsia="zh-CN"/>
              </w:rPr>
            </w:pPr>
            <w:r>
              <w:rPr>
                <w:rFonts w:hint="eastAsia"/>
                <w:lang w:val="en-US" w:eastAsia="zh-CN"/>
              </w:rPr>
              <w:t>现场查看危废物无库存危废，企业介绍2022年无危废转移五联单。</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rPr>
              <w:t>2、废</w:t>
            </w:r>
            <w:r>
              <w:rPr>
                <w:rFonts w:hint="eastAsia"/>
                <w:lang w:val="en-US" w:eastAsia="zh-CN"/>
              </w:rPr>
              <w:t>气</w:t>
            </w:r>
            <w:r>
              <w:rPr>
                <w:rFonts w:hint="eastAsia"/>
              </w:rPr>
              <w:t>排放：</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lang w:val="en-US" w:eastAsia="zh-CN"/>
              </w:rPr>
              <w:t>生产现场</w:t>
            </w:r>
            <w:r>
              <w:rPr>
                <w:rFonts w:hint="eastAsia"/>
              </w:rPr>
              <w:t>废</w:t>
            </w:r>
            <w:r>
              <w:rPr>
                <w:rFonts w:hint="eastAsia"/>
                <w:lang w:val="en-US" w:eastAsia="zh-CN"/>
              </w:rPr>
              <w:t>气</w:t>
            </w:r>
            <w:r>
              <w:rPr>
                <w:rFonts w:hint="eastAsia"/>
              </w:rPr>
              <w:t>主要为生产</w:t>
            </w:r>
            <w:r>
              <w:rPr>
                <w:rFonts w:hint="eastAsia"/>
                <w:lang w:val="en-US" w:eastAsia="zh-CN"/>
              </w:rPr>
              <w:t>过程中油品挥发产生的气态有机物</w:t>
            </w:r>
            <w:r>
              <w:rPr>
                <w:rFonts w:hint="eastAsia"/>
              </w:rPr>
              <w:t>。</w:t>
            </w:r>
            <w:r>
              <w:rPr>
                <w:rFonts w:hint="eastAsia"/>
                <w:lang w:val="en-US" w:eastAsia="zh-CN"/>
              </w:rPr>
              <w:t>在搅拌罐和灌装口设吸尘漏斗，将废气集中收集至废气处理装置，经水喷淋——活性炭吸附进行处理达标后经9m烟囱排放。</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lang w:val="en-US" w:eastAsia="zh-CN"/>
              </w:rPr>
              <w:t>3、</w:t>
            </w:r>
            <w:r>
              <w:rPr>
                <w:rFonts w:hint="eastAsia"/>
              </w:rPr>
              <w:t>噪声：</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default"/>
                <w:lang w:val="en-US" w:eastAsia="zh-CN"/>
              </w:rPr>
            </w:pPr>
            <w:r>
              <w:rPr>
                <w:rFonts w:hint="eastAsia"/>
                <w:lang w:val="en-US" w:eastAsia="zh-CN"/>
              </w:rPr>
              <w:t>4.废水：生产过程中产生的少量废水贮存在200立方米的地下水池内，不排放。</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rPr>
              <w:t>查看</w:t>
            </w:r>
            <w:r>
              <w:rPr>
                <w:rFonts w:hint="eastAsia"/>
                <w:lang w:val="en-US" w:eastAsia="zh-CN"/>
              </w:rPr>
              <w:t>现场</w:t>
            </w:r>
            <w:r>
              <w:rPr>
                <w:rFonts w:hint="eastAsia"/>
              </w:rPr>
              <w:t>噪声主要为</w:t>
            </w:r>
            <w:r>
              <w:rPr>
                <w:rFonts w:hint="eastAsia"/>
                <w:lang w:val="en-US" w:eastAsia="zh-CN"/>
              </w:rPr>
              <w:t>机泵噪声</w:t>
            </w:r>
            <w:r>
              <w:rPr>
                <w:rFonts w:hint="eastAsia"/>
              </w:rPr>
              <w:t>，厂界外噪声可控，通过加注润滑油、更换磨损件等保养维护措施，设备安装</w:t>
            </w:r>
            <w:r>
              <w:rPr>
                <w:rFonts w:hint="eastAsia"/>
                <w:lang w:val="en-US" w:eastAsia="zh-CN"/>
              </w:rPr>
              <w:t>合理</w:t>
            </w:r>
            <w:r>
              <w:rPr>
                <w:rFonts w:hint="eastAsia"/>
              </w:rPr>
              <w:t>，</w:t>
            </w:r>
            <w:r>
              <w:rPr>
                <w:rFonts w:hint="eastAsia"/>
                <w:lang w:val="en-US" w:eastAsia="zh-CN"/>
              </w:rPr>
              <w:t>生产设备在厂房内，</w:t>
            </w:r>
            <w:r>
              <w:rPr>
                <w:rFonts w:hint="eastAsia"/>
              </w:rPr>
              <w:t>可减轻噪声对员工伤害。</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lang w:val="en-US" w:eastAsia="zh-CN"/>
              </w:rPr>
              <w:t>5.</w:t>
            </w:r>
            <w:r>
              <w:rPr>
                <w:rFonts w:hint="eastAsia"/>
              </w:rPr>
              <w:t>火灾预防：</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rPr>
              <w:t>公司编制了火灾预防管理规定、应急管理规定。</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rPr>
              <w:t>查看共用区域、办公室设置了消防栓、灭火器、应急报警器等，设施状态良好。</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rPr>
              <w:t>查看,消防设施配置完整，完好。</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rPr>
              <w:t>公司定期参加组织的消防培训和演练，</w:t>
            </w:r>
            <w:r>
              <w:rPr>
                <w:rFonts w:hint="eastAsia"/>
                <w:lang w:eastAsia="zh-CN"/>
              </w:rPr>
              <w:t>生技部</w:t>
            </w:r>
            <w:r>
              <w:rPr>
                <w:rFonts w:hint="eastAsia"/>
              </w:rPr>
              <w:t>主要岗位均参与。</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rPr>
              <w:t>查近期排放检测，202</w:t>
            </w:r>
            <w:r>
              <w:rPr>
                <w:rFonts w:hint="eastAsia"/>
                <w:lang w:val="en-US" w:eastAsia="zh-CN"/>
              </w:rPr>
              <w:t>2</w:t>
            </w:r>
            <w:r>
              <w:rPr>
                <w:rFonts w:hint="eastAsia"/>
              </w:rPr>
              <w:t>年</w:t>
            </w:r>
            <w:r>
              <w:rPr>
                <w:rFonts w:hint="eastAsia"/>
                <w:lang w:val="en-US" w:eastAsia="zh-CN"/>
              </w:rPr>
              <w:t>11</w:t>
            </w:r>
            <w:r>
              <w:rPr>
                <w:rFonts w:hint="eastAsia"/>
              </w:rPr>
              <w:t>月废水、噪声监测报告（报告编号：</w:t>
            </w:r>
            <w:r>
              <w:rPr>
                <w:rFonts w:hint="eastAsia" w:ascii="宋体" w:hAnsi="宋体" w:eastAsia="宋体" w:cs="宋体"/>
                <w:color w:val="auto"/>
                <w:szCs w:val="21"/>
                <w:highlight w:val="none"/>
                <w:lang w:val="en-US" w:eastAsia="zh-CN"/>
              </w:rPr>
              <w:t>盈通（检）字HBYT15WT202</w:t>
            </w:r>
            <w:r>
              <w:rPr>
                <w:rFonts w:hint="eastAsia" w:ascii="宋体" w:hAnsi="宋体" w:cs="宋体"/>
                <w:color w:val="auto"/>
                <w:szCs w:val="21"/>
                <w:highlight w:val="none"/>
                <w:lang w:val="en-US" w:eastAsia="zh-CN"/>
              </w:rPr>
              <w:t>209</w:t>
            </w:r>
            <w:r>
              <w:rPr>
                <w:rFonts w:hint="eastAsia" w:ascii="宋体" w:hAnsi="宋体" w:eastAsia="宋体" w:cs="宋体"/>
                <w:color w:val="auto"/>
                <w:szCs w:val="21"/>
                <w:highlight w:val="none"/>
                <w:lang w:val="en-US" w:eastAsia="zh-CN"/>
              </w:rPr>
              <w:t>-</w:t>
            </w:r>
            <w:r>
              <w:rPr>
                <w:rFonts w:hint="eastAsia" w:ascii="宋体" w:hAnsi="宋体" w:cs="宋体"/>
                <w:color w:val="auto"/>
                <w:szCs w:val="21"/>
                <w:highlight w:val="none"/>
                <w:lang w:val="en-US" w:eastAsia="zh-CN"/>
              </w:rPr>
              <w:t>45</w:t>
            </w:r>
            <w:r>
              <w:rPr>
                <w:rFonts w:hint="eastAsia"/>
              </w:rPr>
              <w:t>）。符合排放的要求。</w:t>
            </w:r>
          </w:p>
          <w:p>
            <w:pPr>
              <w:pStyle w:val="4"/>
              <w:rPr>
                <w:rFonts w:hint="eastAsia" w:ascii="Times New Roman" w:hAnsi="Times New Roman" w:eastAsia="宋体" w:cs="Times New Roman"/>
                <w:kern w:val="2"/>
                <w:sz w:val="21"/>
                <w:szCs w:val="22"/>
                <w:lang w:val="en-US" w:eastAsia="zh-CN" w:bidi="ar-SA"/>
              </w:rPr>
            </w:pPr>
            <w:r>
              <w:rPr>
                <w:rFonts w:hint="eastAsia" w:ascii="Times New Roman" w:hAnsi="Times New Roman" w:eastAsia="宋体" w:cs="Times New Roman"/>
                <w:color w:val="0000FF"/>
                <w:kern w:val="2"/>
                <w:sz w:val="21"/>
                <w:szCs w:val="22"/>
                <w:lang w:val="en-US" w:eastAsia="zh-CN" w:bidi="ar-SA"/>
              </w:rPr>
              <w:t>现场审核发现原料罐区雨水阀未关闭。——观察项</w:t>
            </w:r>
            <w:r>
              <w:rPr>
                <w:rFonts w:hint="eastAsia" w:ascii="Times New Roman" w:hAnsi="Times New Roman" w:eastAsia="宋体" w:cs="Times New Roman"/>
                <w:kern w:val="2"/>
                <w:sz w:val="21"/>
                <w:szCs w:val="22"/>
                <w:lang w:val="en-US" w:eastAsia="zh-CN" w:bidi="ar-SA"/>
              </w:rPr>
              <w:t>；</w:t>
            </w:r>
          </w:p>
          <w:p>
            <w:pPr>
              <w:pStyle w:val="4"/>
              <w:rPr>
                <w:rFonts w:hint="default" w:ascii="Times New Roman" w:hAnsi="Times New Roman" w:eastAsia="宋体" w:cs="Times New Roman"/>
                <w:kern w:val="2"/>
                <w:sz w:val="21"/>
                <w:szCs w:val="22"/>
                <w:lang w:val="en-US" w:eastAsia="zh-CN" w:bidi="ar-SA"/>
              </w:rPr>
            </w:pPr>
            <w:r>
              <w:rPr>
                <w:rFonts w:hint="eastAsia" w:ascii="Times New Roman" w:hAnsi="Times New Roman" w:eastAsia="宋体" w:cs="Times New Roman"/>
                <w:kern w:val="2"/>
                <w:sz w:val="21"/>
                <w:szCs w:val="22"/>
                <w:lang w:val="en-US" w:eastAsia="zh-CN" w:bidi="ar-SA"/>
              </w:rPr>
              <w:t>现场使用的叉车企业介绍是租赁的，见租赁协议。提供叉车检定报告见附件。</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rPr>
              <w:t>对于相关方环境影响，公司的主要环境管理相关方有：业主、外来人员，对其进行培训告知。</w:t>
            </w:r>
          </w:p>
          <w:p>
            <w:pPr>
              <w:keepNext w:val="0"/>
              <w:keepLines w:val="0"/>
              <w:pageBreakBefore w:val="0"/>
              <w:widowControl w:val="0"/>
              <w:kinsoku/>
              <w:wordWrap/>
              <w:overflowPunct/>
              <w:topLinePunct w:val="0"/>
              <w:autoSpaceDE/>
              <w:autoSpaceDN/>
              <w:bidi w:val="0"/>
              <w:adjustRightInd w:val="0"/>
              <w:snapToGrid w:val="0"/>
              <w:spacing w:before="157" w:beforeLines="50" w:line="240" w:lineRule="auto"/>
              <w:jc w:val="left"/>
              <w:textAlignment w:val="auto"/>
              <w:rPr>
                <w:rFonts w:hint="eastAsia"/>
              </w:rPr>
            </w:pPr>
            <w:r>
              <w:rPr>
                <w:rFonts w:hint="eastAsia"/>
                <w:lang w:eastAsia="zh-CN"/>
              </w:rPr>
              <w:t>生技部</w:t>
            </w:r>
            <w:r>
              <w:rPr>
                <w:rFonts w:hint="eastAsia"/>
              </w:rPr>
              <w:t>环境控制措施基本与管理要求基本一致，基本符合管理要求。</w:t>
            </w:r>
          </w:p>
          <w:p>
            <w:pPr>
              <w:pStyle w:val="4"/>
              <w:rPr>
                <w:rFonts w:hint="eastAsia"/>
                <w:lang w:val="en-US" w:eastAsia="zh-CN"/>
              </w:rPr>
            </w:pPr>
          </w:p>
        </w:tc>
        <w:tc>
          <w:tcPr>
            <w:tcW w:w="1284" w:type="dxa"/>
            <w:tcBorders>
              <w:top w:val="single" w:color="auto" w:sz="4" w:space="0"/>
              <w:left w:val="single" w:color="auto" w:sz="4" w:space="0"/>
              <w:bottom w:val="single" w:color="auto" w:sz="4" w:space="0"/>
              <w:right w:val="single" w:color="auto" w:sz="4" w:space="0"/>
            </w:tcBorders>
            <w:vAlign w:val="top"/>
          </w:tcPr>
          <w:p>
            <w:pPr>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Borders>
              <w:top w:val="single" w:color="auto" w:sz="4" w:space="0"/>
              <w:left w:val="single" w:color="auto" w:sz="4" w:space="0"/>
              <w:bottom w:val="single" w:color="auto" w:sz="4" w:space="0"/>
              <w:right w:val="single" w:color="auto" w:sz="4" w:space="0"/>
            </w:tcBorders>
            <w:vAlign w:val="top"/>
          </w:tcPr>
          <w:p>
            <w:pPr>
              <w:adjustRightInd w:val="0"/>
              <w:snapToGrid w:val="0"/>
              <w:jc w:val="cente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应急准备和响应</w:t>
            </w:r>
          </w:p>
        </w:tc>
        <w:tc>
          <w:tcPr>
            <w:tcW w:w="960" w:type="dxa"/>
            <w:tcBorders>
              <w:top w:val="single" w:color="auto" w:sz="4" w:space="0"/>
              <w:left w:val="single" w:color="auto" w:sz="4" w:space="0"/>
              <w:bottom w:val="single" w:color="auto" w:sz="4" w:space="0"/>
              <w:right w:val="single" w:color="auto" w:sz="4" w:space="0"/>
            </w:tcBorders>
            <w:vAlign w:val="top"/>
          </w:tcPr>
          <w:p>
            <w:pPr>
              <w:rPr>
                <w:rFonts w:hint="eastAsia" w:ascii="宋体" w:hAnsi="宋体" w:eastAsia="宋体" w:cs="新宋体"/>
                <w:color w:val="auto"/>
                <w:kern w:val="2"/>
                <w:sz w:val="21"/>
                <w:szCs w:val="21"/>
                <w:lang w:val="en-US" w:eastAsia="zh-CN" w:bidi="ar-SA"/>
              </w:rPr>
            </w:pPr>
            <w:r>
              <w:rPr>
                <w:rFonts w:hint="eastAsia" w:ascii="宋体" w:hAnsi="宋体" w:cs="新宋体"/>
                <w:color w:val="auto"/>
                <w:szCs w:val="21"/>
              </w:rPr>
              <w:t>E8.2</w:t>
            </w:r>
          </w:p>
        </w:tc>
        <w:tc>
          <w:tcPr>
            <w:tcW w:w="10305" w:type="dxa"/>
            <w:tcBorders>
              <w:top w:val="single" w:color="auto" w:sz="4" w:space="0"/>
              <w:left w:val="single" w:color="auto" w:sz="4" w:space="0"/>
              <w:bottom w:val="single" w:color="auto" w:sz="4" w:space="0"/>
              <w:right w:val="single" w:color="auto" w:sz="4" w:space="0"/>
            </w:tcBorders>
            <w:vAlign w:val="top"/>
          </w:tcPr>
          <w:p>
            <w:pPr>
              <w:adjustRightInd w:val="0"/>
              <w:snapToGrid w:val="0"/>
              <w:spacing w:line="400" w:lineRule="exact"/>
              <w:jc w:val="left"/>
              <w:rPr>
                <w:rFonts w:hint="eastAsia" w:ascii="Times New Roman" w:hAnsi="Times New Roman" w:eastAsia="宋体" w:cs="Times New Roman"/>
                <w:lang w:val="en-US" w:eastAsia="zh-CN"/>
              </w:rPr>
            </w:pPr>
            <w:r>
              <w:rPr>
                <w:rFonts w:hint="eastAsia" w:ascii="Times New Roman" w:hAnsi="Times New Roman" w:eastAsia="宋体" w:cs="Times New Roman"/>
                <w:lang w:val="en-US" w:eastAsia="zh-CN"/>
              </w:rPr>
              <w:t>查：</w:t>
            </w:r>
            <w:r>
              <w:rPr>
                <w:rFonts w:hint="eastAsia" w:ascii="Times New Roman" w:hAnsi="Times New Roman" w:eastAsia="宋体" w:cs="Times New Roman"/>
                <w:lang w:eastAsia="zh-CN"/>
              </w:rPr>
              <w:t>生技部</w:t>
            </w:r>
            <w:r>
              <w:rPr>
                <w:rFonts w:hint="eastAsia" w:ascii="Times New Roman" w:hAnsi="Times New Roman" w:eastAsia="宋体" w:cs="Times New Roman"/>
              </w:rPr>
              <w:t>相关人员参加了</w:t>
            </w:r>
            <w:r>
              <w:rPr>
                <w:rFonts w:hint="eastAsia" w:cs="Times New Roman"/>
                <w:lang w:val="en-US" w:eastAsia="zh-CN"/>
              </w:rPr>
              <w:t>2022年9月1日火灾事故演练和</w:t>
            </w:r>
            <w:r>
              <w:rPr>
                <w:rFonts w:hint="eastAsia" w:ascii="Times New Roman" w:hAnsi="Times New Roman" w:eastAsia="宋体" w:cs="Times New Roman"/>
              </w:rPr>
              <w:t>202</w:t>
            </w:r>
            <w:r>
              <w:rPr>
                <w:rFonts w:hint="eastAsia" w:cs="Times New Roman"/>
                <w:lang w:val="en-US" w:eastAsia="zh-CN"/>
              </w:rPr>
              <w:t>2</w:t>
            </w:r>
            <w:r>
              <w:rPr>
                <w:rFonts w:hint="eastAsia" w:ascii="Times New Roman" w:hAnsi="Times New Roman" w:eastAsia="宋体" w:cs="Times New Roman"/>
              </w:rPr>
              <w:t>年</w:t>
            </w:r>
            <w:r>
              <w:rPr>
                <w:rFonts w:hint="eastAsia" w:ascii="Times New Roman" w:hAnsi="Times New Roman" w:eastAsia="宋体" w:cs="Times New Roman"/>
                <w:lang w:val="en-US" w:eastAsia="zh-CN"/>
              </w:rPr>
              <w:t>1</w:t>
            </w:r>
            <w:r>
              <w:rPr>
                <w:rFonts w:hint="eastAsia" w:cs="Times New Roman"/>
                <w:lang w:val="en-US" w:eastAsia="zh-CN"/>
              </w:rPr>
              <w:t>0</w:t>
            </w:r>
            <w:r>
              <w:rPr>
                <w:rFonts w:hint="eastAsia" w:ascii="Times New Roman" w:hAnsi="Times New Roman" w:eastAsia="宋体" w:cs="Times New Roman"/>
              </w:rPr>
              <w:t>月</w:t>
            </w:r>
            <w:r>
              <w:rPr>
                <w:rFonts w:hint="eastAsia" w:cs="Times New Roman"/>
                <w:lang w:val="en-US" w:eastAsia="zh-CN"/>
              </w:rPr>
              <w:t>27</w:t>
            </w:r>
            <w:r>
              <w:rPr>
                <w:rFonts w:hint="eastAsia" w:ascii="Times New Roman" w:hAnsi="Times New Roman" w:eastAsia="宋体" w:cs="Times New Roman"/>
              </w:rPr>
              <w:t>日在公司组织的</w:t>
            </w:r>
            <w:r>
              <w:rPr>
                <w:rFonts w:hint="eastAsia" w:ascii="Times New Roman" w:hAnsi="Times New Roman" w:eastAsia="宋体" w:cs="Times New Roman"/>
                <w:lang w:val="en-US" w:eastAsia="zh-CN"/>
              </w:rPr>
              <w:t>化学品泄漏演练</w:t>
            </w:r>
            <w:r>
              <w:rPr>
                <w:rFonts w:hint="eastAsia" w:ascii="Times New Roman" w:hAnsi="Times New Roman" w:eastAsia="宋体" w:cs="Times New Roman"/>
              </w:rPr>
              <w:t>。</w:t>
            </w:r>
          </w:p>
        </w:tc>
        <w:tc>
          <w:tcPr>
            <w:tcW w:w="1284"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kern w:val="2"/>
                <w:sz w:val="21"/>
                <w:lang w:val="en-US" w:eastAsia="zh-CN" w:bidi="ar-SA"/>
              </w:rPr>
            </w:pPr>
            <w:r>
              <w:rPr>
                <w:rFonts w:hint="eastAsia" w:ascii="宋体" w:hAnsi="宋体" w:cs="宋体"/>
                <w:sz w:val="21"/>
                <w:szCs w:val="21"/>
                <w:lang w:val="en-US" w:eastAsia="zh-CN"/>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trPr>
        <w:tc>
          <w:tcPr>
            <w:tcW w:w="2160" w:type="dxa"/>
            <w:tcBorders>
              <w:top w:val="single" w:color="auto" w:sz="4" w:space="0"/>
              <w:left w:val="single" w:color="auto" w:sz="4" w:space="0"/>
              <w:bottom w:val="single" w:color="auto" w:sz="4" w:space="0"/>
              <w:right w:val="single" w:color="auto" w:sz="4" w:space="0"/>
            </w:tcBorders>
            <w:vAlign w:val="center"/>
          </w:tcPr>
          <w:p>
            <w:pPr>
              <w:rPr>
                <w:rFonts w:hint="eastAsia" w:ascii="Times New Roman" w:hAnsi="Times New Roman" w:eastAsia="宋体" w:cs="Times New Roman"/>
                <w:kern w:val="2"/>
                <w:sz w:val="21"/>
                <w:szCs w:val="21"/>
                <w:lang w:val="en-US" w:eastAsia="zh-CN" w:bidi="ar-SA"/>
              </w:rPr>
            </w:pPr>
            <w:r>
              <w:rPr>
                <w:rFonts w:hint="eastAsia"/>
                <w:szCs w:val="21"/>
              </w:rPr>
              <w:t>不符合和纠正措施</w:t>
            </w:r>
          </w:p>
        </w:tc>
        <w:tc>
          <w:tcPr>
            <w:tcW w:w="960" w:type="dxa"/>
            <w:tcBorders>
              <w:top w:val="single" w:color="auto" w:sz="4" w:space="0"/>
              <w:left w:val="single" w:color="auto" w:sz="4" w:space="0"/>
              <w:bottom w:val="single" w:color="auto" w:sz="4" w:space="0"/>
              <w:right w:val="single" w:color="auto" w:sz="4" w:space="0"/>
            </w:tcBorders>
            <w:vAlign w:val="center"/>
          </w:tcPr>
          <w:p>
            <w:pPr>
              <w:rPr>
                <w:szCs w:val="21"/>
              </w:rPr>
            </w:pPr>
            <w:r>
              <w:rPr>
                <w:rFonts w:hint="eastAsia"/>
                <w:szCs w:val="21"/>
              </w:rPr>
              <w:t>Q</w:t>
            </w:r>
            <w:r>
              <w:rPr>
                <w:szCs w:val="21"/>
              </w:rPr>
              <w:t>E10.2</w:t>
            </w:r>
          </w:p>
          <w:p>
            <w:pPr>
              <w:rPr>
                <w:rFonts w:hint="eastAsia" w:ascii="Times New Roman" w:hAnsi="Times New Roman" w:eastAsia="宋体" w:cs="Times New Roman"/>
                <w:kern w:val="2"/>
                <w:sz w:val="21"/>
                <w:szCs w:val="21"/>
                <w:lang w:val="en-US" w:eastAsia="zh-CN" w:bidi="ar-SA"/>
              </w:rPr>
            </w:pPr>
          </w:p>
        </w:tc>
        <w:tc>
          <w:tcPr>
            <w:tcW w:w="10305"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宋体"/>
                <w:kern w:val="2"/>
                <w:sz w:val="21"/>
                <w:szCs w:val="21"/>
                <w:lang w:val="en-US" w:eastAsia="zh-CN" w:bidi="ar-SA"/>
              </w:rPr>
            </w:pPr>
            <w:r>
              <w:rPr>
                <w:rFonts w:hint="eastAsia"/>
                <w:szCs w:val="21"/>
                <w:lang w:val="en-US" w:eastAsia="zh-CN"/>
              </w:rPr>
              <w:t>2022年度企业内审和管理评审不符合未发生在生技部。</w:t>
            </w:r>
          </w:p>
        </w:tc>
        <w:tc>
          <w:tcPr>
            <w:tcW w:w="1284" w:type="dxa"/>
            <w:tcBorders>
              <w:top w:val="single" w:color="auto" w:sz="4" w:space="0"/>
              <w:left w:val="single" w:color="auto" w:sz="4" w:space="0"/>
              <w:bottom w:val="single" w:color="auto" w:sz="4" w:space="0"/>
              <w:right w:val="single" w:color="auto" w:sz="4" w:space="0"/>
            </w:tcBorders>
            <w:vAlign w:val="top"/>
          </w:tcPr>
          <w:p>
            <w:pPr>
              <w:rPr>
                <w:rFonts w:hint="eastAsia" w:ascii="Times New Roman" w:hAnsi="Times New Roman" w:eastAsia="宋体" w:cs="Times New Roman"/>
                <w:kern w:val="2"/>
                <w:sz w:val="21"/>
                <w:lang w:val="en-US" w:eastAsia="zh-CN" w:bidi="ar-SA"/>
              </w:rPr>
            </w:pPr>
            <w:r>
              <w:rPr>
                <w:rFonts w:hint="eastAsia" w:ascii="宋体" w:hAnsi="宋体" w:cs="宋体"/>
                <w:sz w:val="21"/>
                <w:szCs w:val="21"/>
                <w:lang w:val="en-US" w:eastAsia="zh-CN"/>
              </w:rPr>
              <w:t>y</w:t>
            </w:r>
          </w:p>
        </w:tc>
      </w:tr>
    </w:tbl>
    <w:p>
      <w:pPr>
        <w:pStyle w:val="7"/>
      </w:pPr>
      <w:r>
        <w:rPr>
          <w:rFonts w:hint="eastAsia"/>
        </w:rPr>
        <w:t>说明：不符合标注N</w:t>
      </w:r>
    </w:p>
    <w:p>
      <w:pPr>
        <w:pStyle w:val="7"/>
      </w:pPr>
      <w:bookmarkStart w:id="0" w:name="_GoBack"/>
      <w:bookmarkEnd w:id="0"/>
    </w:p>
    <w:sectPr>
      <w:headerReference r:id="rId3" w:type="default"/>
      <w:footerReference r:id="rId4" w:type="default"/>
      <w:pgSz w:w="16838" w:h="11906" w:orient="landscape"/>
      <w:pgMar w:top="1440" w:right="1080" w:bottom="1440" w:left="1080" w:header="680"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隶书">
    <w:panose1 w:val="02010509060101010101"/>
    <w:charset w:val="86"/>
    <w:family w:val="modern"/>
    <w:pitch w:val="default"/>
    <w:sig w:usb0="00000001" w:usb1="080E0000" w:usb2="00000000" w:usb3="00000000" w:csb0="00040000" w:csb1="00000000"/>
  </w:font>
  <w:font w:name="新宋体">
    <w:panose1 w:val="02010609030101010101"/>
    <w:charset w:val="86"/>
    <w:family w:val="modern"/>
    <w:pitch w:val="default"/>
    <w:sig w:usb0="0000028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7"/>
              <w:jc w:val="center"/>
            </w:pPr>
            <w:r>
              <w:rPr>
                <w:b/>
                <w:sz w:val="24"/>
                <w:szCs w:val="24"/>
              </w:rPr>
              <w:fldChar w:fldCharType="begin"/>
            </w:r>
            <w:r>
              <w:rPr>
                <w:b/>
              </w:rPr>
              <w:instrText xml:space="preserve">PAGE</w:instrText>
            </w:r>
            <w:r>
              <w:rPr>
                <w:b/>
                <w:sz w:val="24"/>
                <w:szCs w:val="24"/>
              </w:rPr>
              <w:fldChar w:fldCharType="separate"/>
            </w:r>
            <w:r>
              <w:rPr>
                <w:b/>
              </w:rPr>
              <w:t>1</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1</w:t>
            </w:r>
            <w:r>
              <w:rPr>
                <w:b/>
                <w:sz w:val="24"/>
                <w:szCs w:val="24"/>
              </w:rPr>
              <w:fldChar w:fldCharType="end"/>
            </w:r>
          </w:p>
        </w:sdtContent>
      </w:sdt>
    </w:sdtContent>
  </w:sdt>
  <w:p>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pBdr>
        <w:bottom w:val="none" w:color="auto" w:sz="0" w:space="0"/>
      </w:pBdr>
      <w:tabs>
        <w:tab w:val="left" w:pos="8910"/>
        <w:tab w:val="left" w:pos="9142"/>
        <w:tab w:val="clear" w:pos="4153"/>
      </w:tabs>
      <w:spacing w:line="320" w:lineRule="exact"/>
      <w:ind w:left="-86" w:leftChars="-41" w:firstLine="810" w:firstLineChars="450"/>
      <w:jc w:val="left"/>
      <w:rPr>
        <w:rStyle w:val="18"/>
        <w:rFonts w:hint="default"/>
      </w:rPr>
    </w:pPr>
    <w:r>
      <w:drawing>
        <wp:anchor distT="0" distB="0" distL="114300" distR="114300" simplePos="0" relativeHeight="251662336"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4"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0" descr="新LOGO.png"/>
                  <pic:cNvPicPr>
                    <a:picLocks noChangeAspect="1"/>
                  </pic:cNvPicPr>
                </pic:nvPicPr>
                <pic:blipFill>
                  <a:blip r:embed="rId1"/>
                  <a:stretch>
                    <a:fillRect/>
                  </a:stretch>
                </pic:blipFill>
                <pic:spPr>
                  <a:xfrm>
                    <a:off x="0" y="0"/>
                    <a:ext cx="485775" cy="485775"/>
                  </a:xfrm>
                  <a:prstGeom prst="rect">
                    <a:avLst/>
                  </a:prstGeom>
                </pic:spPr>
              </pic:pic>
            </a:graphicData>
          </a:graphic>
        </wp:anchor>
      </w:drawing>
    </w:r>
    <w:r>
      <mc:AlternateContent>
        <mc:Choice Requires="wps">
          <w:drawing>
            <wp:anchor distT="0" distB="0" distL="114300" distR="114300" simplePos="0" relativeHeight="251659264" behindDoc="0" locked="0" layoutInCell="1" allowOverlap="1">
              <wp:simplePos x="0" y="0"/>
              <wp:positionH relativeFrom="column">
                <wp:posOffset>7879080</wp:posOffset>
              </wp:positionH>
              <wp:positionV relativeFrom="paragraph">
                <wp:posOffset>159385</wp:posOffset>
              </wp:positionV>
              <wp:extent cx="1304290" cy="256540"/>
              <wp:effectExtent l="0" t="0" r="3810" b="10160"/>
              <wp:wrapNone/>
              <wp:docPr id="1" name="文本框 1025"/>
              <wp:cNvGraphicFramePr/>
              <a:graphic xmlns:a="http://schemas.openxmlformats.org/drawingml/2006/main">
                <a:graphicData uri="http://schemas.microsoft.com/office/word/2010/wordprocessingShape">
                  <wps:wsp>
                    <wps:cNvSpPr txBox="1"/>
                    <wps:spPr>
                      <a:xfrm>
                        <a:off x="0" y="0"/>
                        <a:ext cx="1304290" cy="256540"/>
                      </a:xfrm>
                      <a:prstGeom prst="rect">
                        <a:avLst/>
                      </a:prstGeom>
                      <a:solidFill>
                        <a:srgbClr val="FFFFFF"/>
                      </a:solidFill>
                      <a:ln>
                        <a:noFill/>
                      </a:ln>
                    </wps:spPr>
                    <wps:txbx>
                      <w:txbxContent>
                        <w:p>
                          <w:pPr>
                            <w:rPr>
                              <w:sz w:val="18"/>
                              <w:szCs w:val="18"/>
                            </w:rPr>
                          </w:pPr>
                          <w:r>
                            <w:rPr>
                              <w:rFonts w:hint="eastAsia"/>
                              <w:sz w:val="18"/>
                              <w:szCs w:val="18"/>
                            </w:rPr>
                            <w:t>ISC-B-II-12(05版）</w:t>
                          </w:r>
                        </w:p>
                      </w:txbxContent>
                    </wps:txbx>
                    <wps:bodyPr upright="1"/>
                  </wps:wsp>
                </a:graphicData>
              </a:graphic>
            </wp:anchor>
          </w:drawing>
        </mc:Choice>
        <mc:Fallback>
          <w:pict>
            <v:shape id="文本框 1025" o:spid="_x0000_s1026" o:spt="202" type="#_x0000_t202" style="position:absolute;left:0pt;margin-left:620.4pt;margin-top:12.55pt;height:20.2pt;width:102.7pt;z-index:251659264;mso-width-relative:page;mso-height-relative:page;" fillcolor="#FFFFFF" filled="t" stroked="f" coordsize="21600,21600" o:gfxdata="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">
              <v:fill on="t" focussize="0,0"/>
              <v:stroke on="f"/>
              <v:imagedata o:title=""/>
              <o:lock v:ext="edit" aspectratio="f"/>
              <v:textbox>
                <w:txbxContent>
                  <w:p>
                    <w:pPr>
                      <w:rPr>
                        <w:sz w:val="18"/>
                        <w:szCs w:val="18"/>
                      </w:rPr>
                    </w:pPr>
                    <w:r>
                      <w:rPr>
                        <w:rFonts w:hint="eastAsia"/>
                        <w:sz w:val="18"/>
                        <w:szCs w:val="18"/>
                      </w:rPr>
                      <w:t>ISC-B-II-12(05版）</w:t>
                    </w:r>
                  </w:p>
                </w:txbxContent>
              </v:textbox>
            </v:shape>
          </w:pict>
        </mc:Fallback>
      </mc:AlternateContent>
    </w:r>
    <w:r>
      <w:rPr>
        <w:rStyle w:val="18"/>
        <w:rFonts w:hint="default"/>
      </w:rPr>
      <w:t>北京国标联合认证有限公司</w:t>
    </w:r>
    <w:r>
      <w:rPr>
        <w:rStyle w:val="18"/>
        <w:rFonts w:hint="default"/>
      </w:rPr>
      <w:tab/>
    </w:r>
    <w:r>
      <w:rPr>
        <w:rStyle w:val="18"/>
        <w:rFonts w:hint="default"/>
      </w:rPr>
      <w:tab/>
    </w:r>
    <w:r>
      <w:rPr>
        <w:rStyle w:val="18"/>
        <w:rFonts w:hint="default"/>
      </w:rPr>
      <w:tab/>
    </w:r>
  </w:p>
  <w:p>
    <w:pPr>
      <w:pStyle w:val="8"/>
      <w:pBdr>
        <w:bottom w:val="none" w:color="auto" w:sz="0" w:space="0"/>
      </w:pBdr>
      <w:spacing w:line="320" w:lineRule="exact"/>
      <w:ind w:firstLine="756" w:firstLineChars="400"/>
      <w:jc w:val="left"/>
    </w:pPr>
    <w:r>
      <w:rPr>
        <w:rStyle w:val="18"/>
        <w:rFonts w:hint="default"/>
        <w:w w:val="90"/>
      </w:rPr>
      <w:t>Beijing International Standard united Certification Co.,Ltd.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A7BCECC5"/>
    <w:multiLevelType w:val="singleLevel"/>
    <w:tmpl w:val="A7BCECC5"/>
    <w:lvl w:ilvl="0" w:tentative="0">
      <w:start w:val="6"/>
      <w:numFmt w:val="decimal"/>
      <w:lvlText w:val="%1."/>
      <w:lvlJc w:val="left"/>
      <w:pPr>
        <w:tabs>
          <w:tab w:val="left" w:pos="312"/>
        </w:tabs>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NotTrackMoves/>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84A3023"/>
    <w:rsid w:val="25057358"/>
    <w:rsid w:val="333D5CF2"/>
    <w:rsid w:val="355927C1"/>
    <w:rsid w:val="43A36BDE"/>
    <w:rsid w:val="4F7962F3"/>
    <w:rsid w:val="51313ED8"/>
    <w:rsid w:val="5AD83A61"/>
    <w:rsid w:val="5D4258D4"/>
    <w:rsid w:val="655844CD"/>
    <w:rsid w:val="6BFE4DA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qFormat="1" w:uiPriority="99" w:semiHidden="0"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qFormat/>
    <w:uiPriority w:val="0"/>
    <w:pPr>
      <w:keepNext/>
      <w:keepLines/>
      <w:spacing w:beforeLines="0" w:beforeAutospacing="0" w:afterLines="0" w:afterAutospacing="0" w:line="360" w:lineRule="auto"/>
      <w:jc w:val="center"/>
      <w:outlineLvl w:val="0"/>
    </w:pPr>
    <w:rPr>
      <w:rFonts w:ascii="Calibri" w:hAnsi="Calibri" w:eastAsia="宋体" w:cs="Times New Roman"/>
      <w:b/>
      <w:kern w:val="44"/>
      <w:sz w:val="44"/>
      <w:szCs w:val="22"/>
    </w:rPr>
  </w:style>
  <w:style w:type="character" w:default="1" w:styleId="13">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customStyle="1" w:styleId="2">
    <w:name w:val="无间隔1"/>
    <w:qFormat/>
    <w:uiPriority w:val="0"/>
    <w:rPr>
      <w:rFonts w:ascii="Times New Roman" w:hAnsi="Times New Roman" w:eastAsia="宋体" w:cs="Times New Roman"/>
      <w:sz w:val="22"/>
      <w:szCs w:val="22"/>
      <w:lang w:val="en-US" w:eastAsia="zh-CN" w:bidi="ar-SA"/>
    </w:rPr>
  </w:style>
  <w:style w:type="paragraph" w:styleId="4">
    <w:name w:val="Body Text"/>
    <w:basedOn w:val="1"/>
    <w:qFormat/>
    <w:uiPriority w:val="0"/>
    <w:pPr>
      <w:spacing w:after="120"/>
    </w:pPr>
    <w:rPr>
      <w:szCs w:val="24"/>
    </w:rPr>
  </w:style>
  <w:style w:type="paragraph" w:styleId="5">
    <w:name w:val="Plain Text"/>
    <w:basedOn w:val="1"/>
    <w:qFormat/>
    <w:uiPriority w:val="0"/>
    <w:rPr>
      <w:rFonts w:ascii="宋体" w:hAnsi="Courier New"/>
      <w:sz w:val="24"/>
    </w:rPr>
  </w:style>
  <w:style w:type="paragraph" w:styleId="6">
    <w:name w:val="Balloon Text"/>
    <w:basedOn w:val="1"/>
    <w:link w:val="17"/>
    <w:semiHidden/>
    <w:unhideWhenUsed/>
    <w:qFormat/>
    <w:uiPriority w:val="99"/>
    <w:rPr>
      <w:sz w:val="18"/>
      <w:szCs w:val="18"/>
    </w:rPr>
  </w:style>
  <w:style w:type="paragraph" w:styleId="7">
    <w:name w:val="footer"/>
    <w:basedOn w:val="1"/>
    <w:link w:val="16"/>
    <w:unhideWhenUsed/>
    <w:qFormat/>
    <w:uiPriority w:val="99"/>
    <w:pPr>
      <w:tabs>
        <w:tab w:val="center" w:pos="4153"/>
        <w:tab w:val="right" w:pos="8306"/>
      </w:tabs>
      <w:snapToGrid w:val="0"/>
      <w:jc w:val="left"/>
    </w:pPr>
    <w:rPr>
      <w:sz w:val="18"/>
      <w:szCs w:val="18"/>
    </w:rPr>
  </w:style>
  <w:style w:type="paragraph" w:styleId="8">
    <w:name w:val="header"/>
    <w:basedOn w:val="1"/>
    <w:link w:val="15"/>
    <w:unhideWhenUsed/>
    <w:qFormat/>
    <w:uiPriority w:val="0"/>
    <w:pPr>
      <w:pBdr>
        <w:bottom w:val="single" w:color="auto" w:sz="6" w:space="1"/>
      </w:pBdr>
      <w:tabs>
        <w:tab w:val="center" w:pos="4153"/>
        <w:tab w:val="right" w:pos="8306"/>
      </w:tabs>
      <w:snapToGrid w:val="0"/>
      <w:jc w:val="center"/>
    </w:pPr>
    <w:rPr>
      <w:sz w:val="18"/>
      <w:szCs w:val="18"/>
    </w:rPr>
  </w:style>
  <w:style w:type="paragraph" w:styleId="9">
    <w:name w:val="Body Text Indent 3"/>
    <w:basedOn w:val="1"/>
    <w:unhideWhenUsed/>
    <w:qFormat/>
    <w:uiPriority w:val="99"/>
    <w:pPr>
      <w:spacing w:after="120"/>
      <w:ind w:left="420" w:leftChars="200"/>
    </w:pPr>
    <w:rPr>
      <w:sz w:val="16"/>
      <w:szCs w:val="16"/>
    </w:rPr>
  </w:style>
  <w:style w:type="paragraph" w:styleId="10">
    <w:name w:val="Normal (Web)"/>
    <w:basedOn w:val="1"/>
    <w:qFormat/>
    <w:uiPriority w:val="0"/>
    <w:pPr>
      <w:widowControl/>
      <w:spacing w:before="100" w:beforeLines="0" w:beforeAutospacing="1" w:after="100" w:afterLines="0" w:afterAutospacing="1"/>
      <w:jc w:val="left"/>
    </w:pPr>
    <w:rPr>
      <w:rFonts w:ascii="宋体" w:hAnsi="宋体"/>
      <w:kern w:val="0"/>
      <w:sz w:val="24"/>
      <w:lang w:val="en-US"/>
    </w:rPr>
  </w:style>
  <w:style w:type="paragraph" w:styleId="11">
    <w:name w:val="Body Text First Indent"/>
    <w:basedOn w:val="4"/>
    <w:qFormat/>
    <w:uiPriority w:val="0"/>
    <w:pPr>
      <w:ind w:firstLine="420" w:firstLineChars="100"/>
    </w:pPr>
    <w:rPr>
      <w:szCs w:val="20"/>
    </w:rPr>
  </w:style>
  <w:style w:type="paragraph" w:customStyle="1" w:styleId="14">
    <w:name w:val="表格文字"/>
    <w:basedOn w:val="1"/>
    <w:qFormat/>
    <w:uiPriority w:val="0"/>
    <w:pPr>
      <w:spacing w:before="25" w:after="25"/>
    </w:pPr>
    <w:rPr>
      <w:bCs/>
      <w:spacing w:val="10"/>
    </w:rPr>
  </w:style>
  <w:style w:type="character" w:customStyle="1" w:styleId="15">
    <w:name w:val="页眉 Char"/>
    <w:basedOn w:val="13"/>
    <w:link w:val="8"/>
    <w:qFormat/>
    <w:uiPriority w:val="99"/>
    <w:rPr>
      <w:rFonts w:ascii="Times New Roman" w:hAnsi="Times New Roman" w:eastAsia="宋体" w:cs="Times New Roman"/>
      <w:sz w:val="18"/>
      <w:szCs w:val="18"/>
    </w:rPr>
  </w:style>
  <w:style w:type="character" w:customStyle="1" w:styleId="16">
    <w:name w:val="页脚 Char"/>
    <w:basedOn w:val="13"/>
    <w:link w:val="7"/>
    <w:qFormat/>
    <w:uiPriority w:val="99"/>
    <w:rPr>
      <w:rFonts w:ascii="Times New Roman" w:hAnsi="Times New Roman" w:eastAsia="宋体" w:cs="Times New Roman"/>
      <w:sz w:val="18"/>
      <w:szCs w:val="18"/>
    </w:rPr>
  </w:style>
  <w:style w:type="character" w:customStyle="1" w:styleId="17">
    <w:name w:val="批注框文本 Char"/>
    <w:basedOn w:val="13"/>
    <w:link w:val="6"/>
    <w:semiHidden/>
    <w:qFormat/>
    <w:uiPriority w:val="99"/>
    <w:rPr>
      <w:rFonts w:ascii="Times New Roman" w:hAnsi="Times New Roman" w:eastAsia="宋体" w:cs="Times New Roman"/>
      <w:sz w:val="18"/>
      <w:szCs w:val="18"/>
    </w:rPr>
  </w:style>
  <w:style w:type="character" w:customStyle="1" w:styleId="18">
    <w:name w:val="Char Char1"/>
    <w:qFormat/>
    <w:locked/>
    <w:uiPriority w:val="0"/>
    <w:rPr>
      <w:rFonts w:hint="eastAsia" w:ascii="宋体" w:hAnsi="Courier New" w:eastAsia="宋体"/>
      <w:kern w:val="2"/>
      <w:sz w:val="21"/>
      <w:lang w:val="en-US" w:eastAsia="zh-CN" w:bidi="ar-SA"/>
    </w:rPr>
  </w:style>
  <w:style w:type="paragraph" w:customStyle="1" w:styleId="19">
    <w:name w:val="正文 首行缩进:  2 字符"/>
    <w:basedOn w:val="1"/>
    <w:qFormat/>
    <w:uiPriority w:val="0"/>
    <w:pPr>
      <w:ind w:firstLine="200" w:firstLineChars="200"/>
    </w:pPr>
    <w:rPr>
      <w:rFonts w:cs="宋体"/>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Words>
  <Characters>87</Characters>
  <Lines>1</Lines>
  <Paragraphs>1</Paragraphs>
  <TotalTime>3</TotalTime>
  <ScaleCrop>false</ScaleCrop>
  <LinksUpToDate>false</LinksUpToDate>
  <CharactersWithSpaces>101</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丽英</cp:lastModifiedBy>
  <dcterms:modified xsi:type="dcterms:W3CDTF">2023-03-03T13:16:29Z</dcterms:modified>
  <cp:revision>22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D3CAAF0C7E0143029397B2FF429B15D5</vt:lpwstr>
  </property>
  <property fmtid="{D5CDD505-2E9C-101B-9397-08002B2CF9AE}" pid="3" name="KSOProductBuildVer">
    <vt:lpwstr>2052-11.1.0.10314</vt:lpwstr>
  </property>
</Properties>
</file>