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0150-2023-QEO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932"/>
        <w:gridCol w:w="2105"/>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305"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河北汐茹电力设备有限公司</w:t>
            </w:r>
            <w:bookmarkEnd w:id="1"/>
          </w:p>
        </w:tc>
        <w:tc>
          <w:tcPr>
            <w:tcW w:w="2105"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305" w:type="dxa"/>
            <w:gridSpan w:val="2"/>
          </w:tcPr>
          <w:p>
            <w:pPr>
              <w:snapToGrid w:val="0"/>
              <w:spacing w:line="0" w:lineRule="atLeast"/>
              <w:jc w:val="center"/>
              <w:rPr>
                <w:sz w:val="22"/>
                <w:szCs w:val="22"/>
              </w:rPr>
            </w:pPr>
          </w:p>
        </w:tc>
        <w:tc>
          <w:tcPr>
            <w:tcW w:w="2105"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305" w:type="dxa"/>
            <w:gridSpan w:val="2"/>
          </w:tcPr>
          <w:p>
            <w:pPr>
              <w:snapToGrid w:val="0"/>
              <w:spacing w:line="0" w:lineRule="atLeast"/>
              <w:jc w:val="center"/>
              <w:rPr>
                <w:sz w:val="22"/>
                <w:szCs w:val="22"/>
              </w:rPr>
            </w:pPr>
            <w:bookmarkStart w:id="4" w:name="机构代码"/>
            <w:r>
              <w:rPr>
                <w:sz w:val="22"/>
                <w:szCs w:val="22"/>
              </w:rPr>
              <w:t>91130183MAC0EFE99X</w:t>
            </w:r>
            <w:bookmarkEnd w:id="4"/>
          </w:p>
        </w:tc>
        <w:tc>
          <w:tcPr>
            <w:tcW w:w="2105"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eastAsia" w:eastAsia="宋体"/>
                <w:sz w:val="22"/>
                <w:szCs w:val="22"/>
                <w:lang w:eastAsia="zh-CN"/>
              </w:rPr>
            </w:pPr>
            <w:r>
              <w:rPr>
                <w:rFonts w:hint="eastAsia"/>
                <w:sz w:val="2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305" w:type="dxa"/>
            <w:gridSpan w:val="2"/>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w:t>
            </w:r>
          </w:p>
          <w:p>
            <w:pPr>
              <w:snapToGrid w:val="0"/>
              <w:spacing w:line="0" w:lineRule="atLeast"/>
              <w:jc w:val="left"/>
              <w:rPr>
                <w:sz w:val="22"/>
                <w:szCs w:val="22"/>
              </w:rPr>
            </w:pPr>
            <w:bookmarkStart w:id="6" w:name="E勾选"/>
            <w:r>
              <w:rPr>
                <w:rFonts w:hint="eastAsia"/>
                <w:sz w:val="22"/>
                <w:szCs w:val="22"/>
              </w:rPr>
              <w:t>■</w:t>
            </w:r>
            <w:bookmarkEnd w:id="6"/>
            <w:r>
              <w:rPr>
                <w:rFonts w:hint="eastAsia"/>
                <w:sz w:val="22"/>
                <w:szCs w:val="22"/>
              </w:rPr>
              <w:t xml:space="preserve"> GB/T 24001-2016 idt ISO 14001:2015</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w:t>
            </w:r>
          </w:p>
        </w:tc>
        <w:tc>
          <w:tcPr>
            <w:tcW w:w="2105"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8" w:name="体系人数"/>
            <w:r>
              <w:rPr>
                <w:sz w:val="22"/>
                <w:szCs w:val="22"/>
              </w:rPr>
              <w:t>Q:20,E:20,O:20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2"/>
              <w:spacing w:line="400" w:lineRule="exact"/>
              <w:ind w:firstLine="0"/>
              <w:rPr>
                <w:sz w:val="22"/>
                <w:szCs w:val="22"/>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bookmarkStart w:id="12" w:name="特殊审核勾选"/>
            <w:r>
              <w:rPr>
                <w:rFonts w:hint="eastAsia"/>
                <w:b/>
                <w:color w:val="000000" w:themeColor="text1"/>
                <w:spacing w:val="-2"/>
                <w:sz w:val="21"/>
                <w:szCs w:val="21"/>
              </w:rPr>
              <w:t>□</w:t>
            </w:r>
            <w:bookmarkEnd w:id="12"/>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pStyle w:val="13"/>
              <w:ind w:left="0" w:firstLine="4096" w:firstLineChars="1700"/>
              <w:rPr>
                <w:bCs/>
                <w:color w:val="4F81BD" w:themeColor="accent1"/>
                <w:sz w:val="24"/>
                <w:szCs w:val="24"/>
              </w:rPr>
            </w:pPr>
            <w:r>
              <w:rPr>
                <w:rFonts w:hint="eastAsia"/>
                <w:bCs/>
                <w:color w:val="4F81BD" w:themeColor="accent1"/>
                <w:sz w:val="24"/>
                <w:szCs w:val="24"/>
              </w:rPr>
              <w:t>申   请</w:t>
            </w:r>
          </w:p>
          <w:p>
            <w:pPr>
              <w:pStyle w:val="13"/>
              <w:ind w:left="0"/>
              <w:rPr>
                <w:rFonts w:ascii="宋体" w:hAnsi="宋体" w:cs="宋体"/>
                <w:bCs/>
                <w:color w:val="4F81BD" w:themeColor="accent1"/>
                <w:sz w:val="22"/>
                <w:szCs w:val="22"/>
              </w:rPr>
            </w:pPr>
            <w:r>
              <w:rPr>
                <w:rFonts w:hint="eastAsia" w:ascii="宋体" w:hAnsi="宋体" w:cs="宋体"/>
                <w:bCs/>
                <w:color w:val="4F81BD" w:themeColor="accent1"/>
                <w:sz w:val="22"/>
                <w:szCs w:val="22"/>
              </w:rPr>
              <w:t>□ 公司因投招标使用，需证书里的产品/服务内容一致</w:t>
            </w:r>
          </w:p>
          <w:p>
            <w:pPr>
              <w:pStyle w:val="13"/>
              <w:ind w:left="0"/>
              <w:rPr>
                <w:rFonts w:ascii="宋体" w:hAnsi="宋体" w:cs="宋体"/>
                <w:bCs/>
                <w:color w:val="4F81BD" w:themeColor="accent1"/>
                <w:sz w:val="22"/>
                <w:szCs w:val="22"/>
              </w:rPr>
            </w:pPr>
            <w:r>
              <w:rPr>
                <w:rFonts w:hint="eastAsia" w:ascii="宋体" w:hAnsi="宋体" w:cs="宋体"/>
                <w:bCs/>
                <w:color w:val="4F81BD" w:themeColor="accent1"/>
                <w:sz w:val="22"/>
                <w:szCs w:val="22"/>
              </w:rPr>
              <w:t>□ 公司需与其它体系或服务认证证书中的产品/服务范围表述一致，便于统一管理，统一招投标使用</w:t>
            </w:r>
          </w:p>
          <w:p>
            <w:pPr>
              <w:pStyle w:val="13"/>
              <w:ind w:left="0"/>
              <w:rPr>
                <w:rFonts w:ascii="宋体" w:hAnsi="宋体" w:cs="宋体"/>
                <w:bCs/>
                <w:color w:val="4F81BD" w:themeColor="accent1"/>
                <w:sz w:val="22"/>
                <w:szCs w:val="22"/>
              </w:rPr>
            </w:pPr>
            <w:r>
              <w:rPr>
                <w:rFonts w:hint="eastAsia" w:ascii="宋体" w:hAnsi="宋体" w:cs="宋体"/>
                <w:bCs/>
                <w:color w:val="4F81BD" w:themeColor="accent1"/>
                <w:sz w:val="22"/>
                <w:szCs w:val="22"/>
              </w:rPr>
              <w:t>□ 需与原获证证书范围一致，以便于统一管理。</w:t>
            </w:r>
          </w:p>
          <w:p>
            <w:pPr>
              <w:pStyle w:val="13"/>
              <w:ind w:left="0"/>
              <w:rPr>
                <w:rFonts w:ascii="宋体" w:hAnsi="宋体" w:cs="宋体"/>
                <w:bCs/>
                <w:color w:val="4F81BD" w:themeColor="accent1"/>
                <w:sz w:val="22"/>
                <w:szCs w:val="22"/>
              </w:rPr>
            </w:pPr>
          </w:p>
          <w:p>
            <w:pPr>
              <w:pStyle w:val="13"/>
              <w:ind w:left="0"/>
              <w:rPr>
                <w:rFonts w:ascii="宋体" w:hAnsi="宋体" w:cs="宋体"/>
                <w:bCs/>
                <w:color w:val="4F81BD" w:themeColor="accent1"/>
                <w:sz w:val="22"/>
                <w:szCs w:val="22"/>
              </w:rPr>
            </w:pPr>
            <w:r>
              <w:rPr>
                <w:rFonts w:hint="eastAsia" w:ascii="宋体" w:hAnsi="宋体" w:cs="宋体"/>
                <w:bCs/>
                <w:color w:val="4F81BD" w:themeColor="accent1"/>
                <w:sz w:val="22"/>
                <w:szCs w:val="22"/>
              </w:rPr>
              <w:t>特申请QMS为一张证书，无CNAS认可标志。</w:t>
            </w:r>
          </w:p>
          <w:p>
            <w:pPr>
              <w:pStyle w:val="2"/>
              <w:spacing w:line="360" w:lineRule="exact"/>
              <w:ind w:firstLine="0"/>
              <w:rPr>
                <w:b/>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3" w:name="组织名称Add1"/>
            <w:r>
              <w:rPr>
                <w:rFonts w:hint="eastAsia"/>
                <w:sz w:val="22"/>
                <w:szCs w:val="22"/>
              </w:rPr>
              <w:t>河北汐茹电力设备有限公司</w:t>
            </w:r>
            <w:bookmarkEnd w:id="13"/>
          </w:p>
        </w:tc>
        <w:tc>
          <w:tcPr>
            <w:tcW w:w="5013" w:type="dxa"/>
            <w:gridSpan w:val="3"/>
            <w:vMerge w:val="restart"/>
          </w:tcPr>
          <w:p>
            <w:pPr>
              <w:rPr>
                <w:sz w:val="20"/>
              </w:rPr>
            </w:pPr>
            <w:bookmarkStart w:id="14" w:name="范围英"/>
            <w:bookmarkEnd w:id="14"/>
            <w:bookmarkStart w:id="15" w:name="审核范围"/>
            <w:r>
              <w:rPr>
                <w:sz w:val="20"/>
              </w:rPr>
              <w:t>Q：电力安全工器具（携带型短路接地线、个人保安线、高压拉闸杆、工频信号发生器、登杆脚扣、绝缘梯、验电器、标识牌、电工登高板、拉线保护套、安全警示带、安全围栏、绝缘护罩、防坠落装置、绝缘胶板）、防鸟刺、防撞条、电缆沟盖板、电力金具的加工与服务；绝缘手套、绝缘靴、安全带、安全帽的销售</w:t>
            </w:r>
          </w:p>
          <w:p>
            <w:pPr>
              <w:rPr>
                <w:sz w:val="20"/>
              </w:rPr>
            </w:pPr>
            <w:r>
              <w:rPr>
                <w:sz w:val="20"/>
              </w:rPr>
              <w:t>E：电力安全工器具（携带型短路接地线、个人保安线、高压拉闸杆、工频信号发生器、登杆脚扣、绝缘梯、验电器、标识牌、电工登高板、拉线保护套、安全警示带、安全围栏、绝缘护罩、防坠落装置、绝缘胶板）、防鸟刺、防撞条、电缆沟盖板、电力金具的加工与服务；绝缘手套、绝缘靴、安全带、安全帽的销售涉及场所的相关环境管理活动</w:t>
            </w:r>
          </w:p>
          <w:p>
            <w:pPr>
              <w:snapToGrid w:val="0"/>
              <w:spacing w:line="0" w:lineRule="atLeast"/>
              <w:jc w:val="left"/>
              <w:rPr>
                <w:sz w:val="22"/>
                <w:szCs w:val="22"/>
              </w:rPr>
            </w:pPr>
            <w:r>
              <w:rPr>
                <w:sz w:val="20"/>
              </w:rPr>
              <w:t>O：电力安全工器具（携带型短路接地线、个人保安线、高压拉闸杆、工频信号发生器、登杆脚扣、绝缘梯、验电器、标识牌、电工登高板、拉线保护套、安全警示带、安全围栏、绝缘护罩、防坠落装置、绝缘胶板）、防鸟刺、防撞条、电缆沟盖板、电力金具的加工与服务；绝缘手套、绝缘靴、安全带、安全帽的销售所涉及场所的相关职业健康安全管理活动</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6" w:name="注册地址"/>
            <w:r>
              <w:rPr>
                <w:rFonts w:hint="eastAsia"/>
                <w:sz w:val="22"/>
                <w:szCs w:val="22"/>
                <w:lang w:val="en-GB"/>
              </w:rPr>
              <w:t>河北省石家庄市晋州市桃园镇东小留庄村小学南行500米路东</w:t>
            </w:r>
            <w:bookmarkEnd w:id="16"/>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7" w:name="办公地址"/>
            <w:r>
              <w:rPr>
                <w:rFonts w:hint="eastAsia"/>
                <w:sz w:val="22"/>
                <w:szCs w:val="22"/>
                <w:lang w:val="en-GB"/>
              </w:rPr>
              <w:t>河北省石家庄市晋州市桃园镇东小留庄村小学南行500米路东</w:t>
            </w:r>
            <w:bookmarkEnd w:id="17"/>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4305"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2105"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rFonts w:hint="eastAsia"/>
        </w:rPr>
      </w:pPr>
      <w:bookmarkStart w:id="18" w:name="_GoBack"/>
      <w:r>
        <w:rPr>
          <w:rFonts w:hint="eastAsia"/>
        </w:rPr>
        <w:drawing>
          <wp:anchor distT="0" distB="0" distL="114300" distR="114300" simplePos="0" relativeHeight="251659264" behindDoc="0" locked="0" layoutInCell="1" allowOverlap="1">
            <wp:simplePos x="0" y="0"/>
            <wp:positionH relativeFrom="column">
              <wp:posOffset>-709930</wp:posOffset>
            </wp:positionH>
            <wp:positionV relativeFrom="paragraph">
              <wp:posOffset>-958850</wp:posOffset>
            </wp:positionV>
            <wp:extent cx="7535545" cy="11236960"/>
            <wp:effectExtent l="0" t="0" r="8255" b="2540"/>
            <wp:wrapNone/>
            <wp:docPr id="1" name="图片 1" descr="新文档 2023-03-01 13.30.39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3-03-01 13.30.39_19"/>
                    <pic:cNvPicPr>
                      <a:picLocks noChangeAspect="1"/>
                    </pic:cNvPicPr>
                  </pic:nvPicPr>
                  <pic:blipFill>
                    <a:blip r:embed="rId5"/>
                    <a:stretch>
                      <a:fillRect/>
                    </a:stretch>
                  </pic:blipFill>
                  <pic:spPr>
                    <a:xfrm>
                      <a:off x="0" y="0"/>
                      <a:ext cx="7535545" cy="11236960"/>
                    </a:xfrm>
                    <a:prstGeom prst="rect">
                      <a:avLst/>
                    </a:prstGeom>
                  </pic:spPr>
                </pic:pic>
              </a:graphicData>
            </a:graphic>
          </wp:anchor>
        </w:drawing>
      </w:r>
      <w:bookmarkEnd w:id="18"/>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4C6E0D38"/>
    <w:rsid w:val="7ADB21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 w:type="paragraph" w:customStyle="1" w:styleId="18">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400</Words>
  <Characters>2282</Characters>
  <Lines>19</Lines>
  <Paragraphs>5</Paragraphs>
  <TotalTime>1</TotalTime>
  <ScaleCrop>false</ScaleCrop>
  <LinksUpToDate>false</LinksUpToDate>
  <CharactersWithSpaces>2677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2023-03-01T07:38:25Z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