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缙云县锯床及特色机械装备质量检验中心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