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rPr>
          <w:b/>
          <w:bCs/>
          <w:color w:val="000000" w:themeColor="text1"/>
          <w:sz w:val="21"/>
          <w:szCs w:val="21"/>
          <w:u w:val="single"/>
        </w:rPr>
      </w:pPr>
      <w:bookmarkStart w:id="25" w:name="_GoBack"/>
      <w:r>
        <w:rPr>
          <w:rFonts w:hint="eastAsia"/>
          <w:b/>
          <w:color w:val="000000" w:themeColor="text1"/>
          <w:sz w:val="21"/>
          <w:szCs w:val="21"/>
        </w:rPr>
        <w:drawing>
          <wp:inline distT="0" distB="0" distL="114300" distR="114300">
            <wp:extent cx="6186170" cy="8743950"/>
            <wp:effectExtent l="0" t="0" r="1270" b="3810"/>
            <wp:docPr id="3" name="图片 3" descr="fe502c9d0b6b44e163e88c9613d5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502c9d0b6b44e163e88c9613d527f"/>
                    <pic:cNvPicPr>
                      <a:picLocks noChangeAspect="1"/>
                    </pic:cNvPicPr>
                  </pic:nvPicPr>
                  <pic:blipFill>
                    <a:blip r:embed="rId5"/>
                    <a:stretch>
                      <a:fillRect/>
                    </a:stretch>
                  </pic:blipFill>
                  <pic:spPr>
                    <a:xfrm>
                      <a:off x="0" y="0"/>
                      <a:ext cx="6186170" cy="8743950"/>
                    </a:xfrm>
                    <a:prstGeom prst="rect">
                      <a:avLst/>
                    </a:prstGeom>
                  </pic:spPr>
                </pic:pic>
              </a:graphicData>
            </a:graphic>
          </wp:inline>
        </w:drawing>
      </w:r>
      <w:bookmarkEnd w:id="25"/>
      <w:r>
        <w:rPr>
          <w:rFonts w:hint="eastAsia"/>
          <w:b/>
          <w:color w:val="000000" w:themeColor="text1"/>
          <w:sz w:val="21"/>
          <w:szCs w:val="21"/>
        </w:rPr>
        <w:t>合同编号:</w:t>
      </w:r>
      <w:bookmarkStart w:id="0" w:name="合同编号"/>
      <w:r>
        <w:rPr>
          <w:b/>
          <w:bCs/>
          <w:color w:val="000000" w:themeColor="text1"/>
          <w:sz w:val="21"/>
          <w:szCs w:val="21"/>
          <w:u w:val="single"/>
        </w:rPr>
        <w:t>0967-2021-F-2023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北京食刻鲜食品配送有限公司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0967-2021-F-2023</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91110106MA0199RP85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F:未认可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lang w:val="en-US" w:eastAsia="zh-CN"/>
              </w:rPr>
              <w:t>+恢复</w:t>
            </w:r>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w:t>
            </w:r>
            <w:r>
              <w:rPr>
                <w:rFonts w:hint="eastAsia"/>
                <w:b/>
                <w:color w:val="000000" w:themeColor="text1"/>
                <w:sz w:val="22"/>
                <w:szCs w:val="22"/>
                <w:lang w:eastAsia="zh-CN"/>
              </w:rPr>
              <w:t>☑</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北京食刻鲜食品配送有限公司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位于北京市丰台区花乡新发地农工商联合公司院内新发地农产品市场商业街平房20号的北京食刻鲜食品配送有限公司预包装食品（不含冷藏冷冻食品）的销售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北京市丰台区花乡新发地农工商联合公司院内新发地农产品市场商业街平房20号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北京市丰台区花乡新发地农工商联合公司院内新发地农产品市场商业街平房20号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北京食刻鲜食品配送有限公司</w:t>
      </w:r>
      <w:bookmarkEnd w:id="22"/>
      <w:r>
        <w:rPr>
          <w:rFonts w:hint="eastAsia"/>
          <w:b/>
          <w:color w:val="000000" w:themeColor="text1"/>
          <w:sz w:val="22"/>
          <w:szCs w:val="22"/>
        </w:rPr>
        <w:t>证书注册号：</w:t>
      </w:r>
      <w:bookmarkStart w:id="23" w:name="证书编号Add1"/>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北京市丰台区花乡新发地农工商联合公司院内新发地农产品市场商业街平房20号</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B331519"/>
    <w:rsid w:val="5812395F"/>
    <w:rsid w:val="66842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1317</Words>
  <Characters>2149</Characters>
  <Lines>18</Lines>
  <Paragraphs>5</Paragraphs>
  <TotalTime>0</TotalTime>
  <ScaleCrop>false</ScaleCrop>
  <LinksUpToDate>false</LinksUpToDate>
  <CharactersWithSpaces>2358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2023-02-17T05:55:14Z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