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0038-2023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19"/>
        <w:gridCol w:w="741"/>
        <w:gridCol w:w="763"/>
        <w:gridCol w:w="1312"/>
        <w:gridCol w:w="5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隔离条厚度检验测量过程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企业</w:t>
            </w:r>
            <w:r>
              <w:rPr>
                <w:rFonts w:ascii="Times New Roman" w:hAnsi="Times New Roman" w:cs="Times New Roman"/>
                <w:color w:val="000000" w:themeColor="text1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</w:rPr>
              <w:t>生产技术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±0.006</w:t>
            </w:r>
            <w:r>
              <w:rPr>
                <w:rFonts w:ascii="Times New Roman" w:hAnsi="Times New Roman" w:cs="Times New Roman"/>
                <w:color w:val="000000" w:themeColor="text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±0.02</w:t>
            </w:r>
            <w:r>
              <w:rPr>
                <w:rFonts w:ascii="Times New Roman" w:hAnsi="Times New Roman" w:cs="Times New Roman"/>
                <w:color w:val="000000" w:themeColor="text1"/>
              </w:rPr>
              <w:t>mm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 xml:space="preserve">   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--------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是否满足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测量设备名称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测量范围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校准不确定度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示值误差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其他计量特性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 xml:space="preserve">外径千分尺   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(编号：47947 )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（0~25）mm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=0.001mm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k=2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0.001mm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-------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隔离条厚度检验测量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过程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Hans"/>
              </w:rPr>
              <w:t>控制规范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DLD/ GF01-2021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隔离条厚度检验测量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过程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Hans"/>
              </w:rPr>
              <w:t>控制规范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DLD/ GF01-2021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赵润杰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测量过程监视方法、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《隔离条厚度检验测量过程控制规范》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查该测量过程要素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受控。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范围内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日   审核员：  </w:t>
      </w: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871855" cy="511175"/>
            <wp:effectExtent l="0" t="0" r="4445" b="9525"/>
            <wp:docPr id="1" name="图片 1" descr="微信图片_2023021314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131417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1022350" cy="717550"/>
            <wp:effectExtent l="0" t="0" r="6350" b="6350"/>
            <wp:docPr id="2" name="图片 2" descr="微信图片_20230221113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2211134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6.25pt;margin-top:13.2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8pt;margin-top:0.8pt;height:0pt;width:517.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yNTM0NDY2NzUyZGM5YzRhNzhlNTc4NWYxYWI2ZGMifQ=="/>
  </w:docVars>
  <w:rsids>
    <w:rsidRoot w:val="00000000"/>
    <w:rsid w:val="18F843CF"/>
    <w:rsid w:val="2B0F364B"/>
    <w:rsid w:val="2DB71874"/>
    <w:rsid w:val="4EAB637A"/>
    <w:rsid w:val="66984F61"/>
    <w:rsid w:val="72EE3B40"/>
    <w:rsid w:val="7C206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566</Words>
  <Characters>657</Characters>
  <Lines>4</Lines>
  <Paragraphs>1</Paragraphs>
  <TotalTime>4</TotalTime>
  <ScaleCrop>false</ScaleCrop>
  <LinksUpToDate>false</LinksUpToDate>
  <CharactersWithSpaces>687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于养奇</cp:lastModifiedBy>
  <cp:lastPrinted>2017-03-07T01:14:00Z</cp:lastPrinted>
  <dcterms:modified xsi:type="dcterms:W3CDTF">2023-02-23T01:46:09Z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4FDF8ED106B344DA9D3A44B288D2C6F8</vt:lpwstr>
  </property>
</Properties>
</file>