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成都虹天门包装材料有限公司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0032-2023-Q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陈伟</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梁龙</w:t>
            </w:r>
          </w:p>
        </w:tc>
        <w:tc>
          <w:tcPr>
            <w:tcW w:w="1184" w:type="dxa"/>
            <w:vAlign w:val="center"/>
          </w:tcPr>
          <w:p>
            <w:pPr>
              <w:jc w:val="center"/>
              <w:rPr>
                <w:rFonts w:hint="eastAsia"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ISC-JSZJ-277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2023.2.25上午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2023.2.26上午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2023.2.26</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jFmNDE1OTA0NjMzMTc3MjRkMDFmMDVlMjFhNzg3YjQifQ=="/>
  </w:docVars>
  <w:rsids>
    <w:rsidRoot w:val="00000000"/>
    <w:rsid w:val="004E43BF"/>
    <w:rsid w:val="1DB725BF"/>
    <w:rsid w:val="39736669"/>
    <w:rsid w:val="565E2B72"/>
    <w:rsid w:val="670C5884"/>
    <w:rsid w:val="6F742218"/>
    <w:rsid w:val="73090E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2023-02-23T03:45:40Z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2052-11.1.0.13703</vt:lpwstr>
  </property>
</Properties>
</file>