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0033-2023-QEO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重庆富特石业有限公司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重庆富特石业有限公司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重庆市大足区三驱镇大足石刻文创园石文化产业园</w:t>
            </w:r>
            <w:bookmarkEnd w:id="6"/>
          </w:p>
        </w:tc>
        <w:tc>
          <w:tcPr>
            <w:tcW w:w="1242" w:type="dxa"/>
            <w:vMerge w:val="restart"/>
            <w:vAlign w:val="center"/>
          </w:tcPr>
          <w:p>
            <w:r>
              <w:rPr>
                <w:rFonts w:hint="eastAsia"/>
              </w:rPr>
              <w:t>邮编</w:t>
            </w:r>
          </w:p>
        </w:tc>
        <w:tc>
          <w:tcPr>
            <w:tcW w:w="1771" w:type="dxa"/>
          </w:tcPr>
          <w:p>
            <w:bookmarkStart w:id="7" w:name="注册邮编"/>
            <w:r>
              <w:t>402373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重庆市九龙坡区走马镇走马建材交易市场15厅10号</w:t>
            </w:r>
            <w:bookmarkEnd w:id="8"/>
          </w:p>
        </w:tc>
        <w:tc>
          <w:tcPr>
            <w:tcW w:w="1242" w:type="dxa"/>
            <w:vMerge w:val="continue"/>
            <w:vAlign w:val="center"/>
          </w:tcPr>
          <w:p/>
        </w:tc>
        <w:tc>
          <w:tcPr>
            <w:tcW w:w="1771" w:type="dxa"/>
          </w:tcPr>
          <w:p>
            <w:bookmarkStart w:id="9" w:name="办公邮编"/>
            <w:r>
              <w:t>402373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徐善春</w:t>
            </w:r>
            <w:bookmarkEnd w:id="10"/>
          </w:p>
        </w:tc>
        <w:tc>
          <w:tcPr>
            <w:tcW w:w="1313" w:type="dxa"/>
            <w:vAlign w:val="center"/>
          </w:tcPr>
          <w:p>
            <w:r>
              <w:rPr>
                <w:rFonts w:hint="eastAsia"/>
              </w:rPr>
              <w:t>电话.</w:t>
            </w:r>
          </w:p>
        </w:tc>
        <w:tc>
          <w:tcPr>
            <w:tcW w:w="2180" w:type="dxa"/>
            <w:vAlign w:val="center"/>
          </w:tcPr>
          <w:p>
            <w:bookmarkStart w:id="11" w:name="联系人电话"/>
            <w:r>
              <w:t>15902305979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徐敏玲</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林卫炳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tc>
        <w:tc>
          <w:tcPr>
            <w:tcW w:w="8058" w:type="dxa"/>
            <w:gridSpan w:val="5"/>
            <w:shd w:val="clear" w:color="auto" w:fill="auto"/>
            <w:vAlign w:val="top"/>
          </w:tcPr>
          <w:p>
            <w:pPr>
              <w:tabs>
                <w:tab w:val="left" w:pos="2385"/>
              </w:tabs>
              <w:spacing w:line="360" w:lineRule="auto"/>
            </w:pPr>
            <w:r>
              <w:rPr>
                <w:rFonts w:hint="eastAsia"/>
                <w:color w:val="000000"/>
              </w:rPr>
              <w:t>服务</w:t>
            </w:r>
            <w:r>
              <w:rPr>
                <w:rFonts w:hint="eastAsia" w:ascii="Times New Roman" w:hAnsi="Times New Roman" w:eastAsia="宋体" w:cs="Times New Roman"/>
                <w:color w:val="000000"/>
              </w:rPr>
              <w:t>流程图：联系客户—业务洽谈—合同签订—采购产品—检验—产品销售—客户签收—售后服务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2023年02月17日 下午至2023年02月18日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9" w:name="二阶段勾选"/>
            <w:r>
              <w:rPr>
                <w:rFonts w:hint="eastAsia"/>
              </w:rPr>
              <w:t>■</w:t>
            </w:r>
            <w:bookmarkEnd w:id="19"/>
            <w:r>
              <w:rPr>
                <w:rFonts w:hint="eastAsia"/>
              </w:rPr>
              <w:t>初审二阶段</w:t>
            </w:r>
            <w:bookmarkStart w:id="20" w:name="监督勾选Add1"/>
            <w:r>
              <w:rPr>
                <w:rFonts w:hint="eastAsia"/>
              </w:rPr>
              <w:t>□</w:t>
            </w:r>
            <w:bookmarkEnd w:id="20"/>
            <w:r>
              <w:rPr>
                <w:rFonts w:hint="eastAsia"/>
              </w:rPr>
              <w:t>监督第</w:t>
            </w:r>
            <w:bookmarkStart w:id="21" w:name="监督次数"/>
            <w:bookmarkEnd w:id="21"/>
            <w:r>
              <w:rPr>
                <w:rFonts w:hint="eastAsia"/>
              </w:rPr>
              <w:t>次监督审核</w:t>
            </w:r>
            <w:bookmarkStart w:id="22" w:name="再认证勾选"/>
            <w:r>
              <w:rPr>
                <w:rFonts w:hint="eastAsia"/>
              </w:rPr>
              <w:t>□</w:t>
            </w:r>
            <w:bookmarkEnd w:id="22"/>
            <w:r>
              <w:rPr>
                <w:rFonts w:hint="eastAsia"/>
              </w:rPr>
              <w:t>再认证</w:t>
            </w:r>
            <w:bookmarkStart w:id="23" w:name="扩项勾选Add1"/>
            <w:r>
              <w:rPr>
                <w:rFonts w:hint="eastAsia"/>
              </w:rPr>
              <w:t>□</w:t>
            </w:r>
            <w:bookmarkEnd w:id="2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val="0"/>
                <w:bCs w:val="0"/>
                <w:color w:val="0000FF"/>
                <w:szCs w:val="21"/>
                <w:highlight w:val="none"/>
              </w:rPr>
            </w:pPr>
            <w:r>
              <w:rPr>
                <w:rFonts w:hint="eastAsia" w:cs="Arial"/>
                <w:b w:val="0"/>
                <w:bCs w:val="0"/>
                <w:color w:val="0000FF"/>
                <w:szCs w:val="21"/>
                <w:highlight w:val="none"/>
              </w:rPr>
              <w:t>审核地址（含远程）</w:t>
            </w:r>
          </w:p>
        </w:tc>
        <w:tc>
          <w:tcPr>
            <w:tcW w:w="7831" w:type="dxa"/>
            <w:gridSpan w:val="3"/>
            <w:tcMar>
              <w:left w:w="113" w:type="dxa"/>
            </w:tcMar>
          </w:tcPr>
          <w:p>
            <w:pPr>
              <w:rPr>
                <w:rFonts w:ascii="宋体"/>
                <w:b w:val="0"/>
                <w:bCs w:val="0"/>
                <w:color w:val="0000FF"/>
                <w:szCs w:val="21"/>
                <w:highlight w:val="none"/>
              </w:rPr>
            </w:pPr>
            <w:bookmarkStart w:id="24" w:name="办公地址"/>
            <w:r>
              <w:rPr>
                <w:rFonts w:ascii="宋体"/>
                <w:b w:val="0"/>
                <w:bCs w:val="0"/>
                <w:color w:val="000000"/>
                <w:szCs w:val="21"/>
                <w:highlight w:val="none"/>
              </w:rPr>
              <w:t>重庆市九龙坡区走马镇走马建材交易市场15厅10号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Q：石材销售</w:t>
            </w:r>
          </w:p>
          <w:p>
            <w:r>
              <w:t>E：石材销售所涉及场所的相关环境管理活动</w:t>
            </w:r>
          </w:p>
          <w:p>
            <w:r>
              <w:t>O：石材销售所涉及场所的相关职业健康安全管理活动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Q：29.05.03</w:t>
            </w:r>
          </w:p>
          <w:p>
            <w:r>
              <w:t>E：29.05.03</w:t>
            </w:r>
          </w:p>
          <w:p>
            <w:r>
              <w:t>O：29.05.03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highlight w:val="none"/>
              </w:rPr>
            </w:pPr>
            <w:r>
              <w:rPr>
                <w:rFonts w:hint="eastAsia"/>
                <w:highlight w:val="none"/>
                <w:lang w:val="en-US" w:eastAsia="zh-CN"/>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15</w:t>
            </w:r>
            <w:r>
              <w:rPr>
                <w:rFonts w:hint="eastAsia"/>
                <w:highlight w:val="none"/>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lang w:val="en-US"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89"/>
        <w:gridCol w:w="1937"/>
        <w:gridCol w:w="726"/>
        <w:gridCol w:w="2032"/>
        <w:gridCol w:w="129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rPr>
                <w:highlight w:val="none"/>
              </w:rPr>
            </w:pPr>
            <w:r>
              <w:rPr>
                <w:rFonts w:hint="eastAsia"/>
                <w:highlight w:val="none"/>
              </w:rPr>
              <w:t>场所编号</w:t>
            </w:r>
          </w:p>
          <w:p>
            <w:pPr>
              <w:rPr>
                <w:highlight w:val="none"/>
              </w:rPr>
            </w:pPr>
            <w:r>
              <w:rPr>
                <w:rFonts w:hint="eastAsia"/>
                <w:highlight w:val="none"/>
              </w:rPr>
              <w:t>(分证书序号）</w:t>
            </w:r>
          </w:p>
        </w:tc>
        <w:tc>
          <w:tcPr>
            <w:tcW w:w="2589" w:type="dxa"/>
            <w:shd w:val="clear" w:color="auto" w:fill="F3F3F3"/>
            <w:tcMar>
              <w:left w:w="57" w:type="dxa"/>
              <w:right w:w="57" w:type="dxa"/>
            </w:tcMar>
          </w:tcPr>
          <w:p>
            <w:pPr>
              <w:rPr>
                <w:highlight w:val="none"/>
              </w:rPr>
            </w:pPr>
            <w:r>
              <w:rPr>
                <w:rFonts w:hint="eastAsia"/>
                <w:highlight w:val="none"/>
              </w:rPr>
              <w:t>组织名称及注册场所地址</w:t>
            </w:r>
          </w:p>
        </w:tc>
        <w:tc>
          <w:tcPr>
            <w:tcW w:w="1937" w:type="dxa"/>
            <w:shd w:val="clear" w:color="auto" w:fill="F3F3F3"/>
            <w:tcMar>
              <w:left w:w="57" w:type="dxa"/>
              <w:right w:w="57" w:type="dxa"/>
            </w:tcMar>
          </w:tcPr>
          <w:p>
            <w:pPr>
              <w:rPr>
                <w:highlight w:val="none"/>
              </w:rPr>
            </w:pPr>
            <w:r>
              <w:rPr>
                <w:rFonts w:hint="eastAsia"/>
                <w:highlight w:val="none"/>
              </w:rPr>
              <w:t>经营场所的地址</w:t>
            </w:r>
          </w:p>
          <w:p>
            <w:pPr>
              <w:rPr>
                <w:highlight w:val="none"/>
              </w:rPr>
            </w:pPr>
            <w:r>
              <w:rPr>
                <w:rFonts w:hint="eastAsia"/>
                <w:highlight w:val="none"/>
              </w:rPr>
              <w:t>（多现场和临时现场）</w:t>
            </w:r>
          </w:p>
        </w:tc>
        <w:tc>
          <w:tcPr>
            <w:tcW w:w="726" w:type="dxa"/>
            <w:shd w:val="clear" w:color="auto" w:fill="F3F3F3"/>
            <w:tcMar>
              <w:left w:w="57" w:type="dxa"/>
              <w:right w:w="57" w:type="dxa"/>
            </w:tcMar>
          </w:tcPr>
          <w:p>
            <w:pPr>
              <w:rPr>
                <w:highlight w:val="none"/>
              </w:rPr>
            </w:pPr>
            <w:r>
              <w:rPr>
                <w:rFonts w:hint="eastAsia"/>
                <w:highlight w:val="none"/>
              </w:rPr>
              <w:t>员工人数</w:t>
            </w:r>
          </w:p>
        </w:tc>
        <w:tc>
          <w:tcPr>
            <w:tcW w:w="2032" w:type="dxa"/>
            <w:shd w:val="clear" w:color="auto" w:fill="F3F3F3"/>
            <w:tcMar>
              <w:left w:w="57" w:type="dxa"/>
              <w:right w:w="57" w:type="dxa"/>
            </w:tcMar>
          </w:tcPr>
          <w:p>
            <w:pPr>
              <w:rPr>
                <w:highlight w:val="none"/>
              </w:rPr>
            </w:pPr>
            <w:r>
              <w:rPr>
                <w:rFonts w:hint="eastAsia"/>
                <w:highlight w:val="none"/>
              </w:rPr>
              <w:t>审核范围（产品和过程）</w:t>
            </w:r>
          </w:p>
          <w:p>
            <w:pPr>
              <w:rPr>
                <w:highlight w:val="none"/>
              </w:rPr>
            </w:pPr>
          </w:p>
          <w:p>
            <w:pPr>
              <w:rPr>
                <w:highlight w:val="none"/>
              </w:rPr>
            </w:pPr>
          </w:p>
        </w:tc>
        <w:tc>
          <w:tcPr>
            <w:tcW w:w="1293" w:type="dxa"/>
            <w:shd w:val="clear" w:color="auto" w:fill="F3F3F3"/>
            <w:tcMar>
              <w:left w:w="57" w:type="dxa"/>
              <w:right w:w="57" w:type="dxa"/>
            </w:tcMar>
          </w:tcPr>
          <w:p>
            <w:pPr>
              <w:rPr>
                <w:highlight w:val="none"/>
              </w:rPr>
            </w:pPr>
            <w:r>
              <w:rPr>
                <w:rFonts w:hint="eastAsia"/>
                <w:highlight w:val="none"/>
              </w:rPr>
              <w:t>标准</w:t>
            </w:r>
          </w:p>
        </w:tc>
        <w:tc>
          <w:tcPr>
            <w:tcW w:w="668" w:type="dxa"/>
            <w:tcBorders>
              <w:bottom w:val="single" w:color="auto" w:sz="4" w:space="0"/>
            </w:tcBorders>
            <w:shd w:val="clear" w:color="auto" w:fill="F3F3F3"/>
            <w:tcMar>
              <w:left w:w="57" w:type="dxa"/>
              <w:right w:w="57" w:type="dxa"/>
            </w:tcMar>
          </w:tcPr>
          <w:p>
            <w:pPr>
              <w:rPr>
                <w:highlight w:val="none"/>
              </w:rPr>
            </w:pPr>
            <w:r>
              <w:rPr>
                <w:rFonts w:hint="eastAsia"/>
                <w:highlight w:val="none"/>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highlight w:val="none"/>
                <w:lang w:eastAsia="ja-JP"/>
              </w:rPr>
            </w:pPr>
            <w:r>
              <w:rPr>
                <w:rFonts w:hint="eastAsia"/>
                <w:highlight w:val="none"/>
                <w:lang w:eastAsia="ja-JP"/>
              </w:rPr>
              <w:t>01</w:t>
            </w:r>
          </w:p>
        </w:tc>
        <w:tc>
          <w:tcPr>
            <w:tcW w:w="2589" w:type="dxa"/>
            <w:vAlign w:val="top"/>
          </w:tcPr>
          <w:p>
            <w:pPr>
              <w:spacing w:before="40" w:after="40"/>
              <w:rPr>
                <w:rFonts w:hint="eastAsia" w:ascii="Times New Roman" w:hAnsi="Times New Roman" w:eastAsia="宋体" w:cs="Times New Roman"/>
                <w:kern w:val="2"/>
                <w:sz w:val="21"/>
                <w:szCs w:val="21"/>
                <w:highlight w:val="none"/>
                <w:lang w:val="de-DE" w:eastAsia="ja-JP" w:bidi="ar-SA"/>
              </w:rPr>
            </w:pPr>
            <w:r>
              <w:rPr>
                <w:sz w:val="21"/>
                <w:szCs w:val="21"/>
                <w:highlight w:val="none"/>
              </w:rPr>
              <w:t>重庆富特石业有限公司</w:t>
            </w:r>
            <w:r>
              <w:rPr>
                <w:rFonts w:hint="eastAsia"/>
                <w:sz w:val="21"/>
                <w:szCs w:val="21"/>
                <w:highlight w:val="none"/>
                <w:lang w:val="en-US" w:eastAsia="zh-CN"/>
              </w:rPr>
              <w:t>/</w:t>
            </w:r>
            <w:r>
              <w:rPr>
                <w:sz w:val="21"/>
                <w:szCs w:val="21"/>
                <w:highlight w:val="none"/>
              </w:rPr>
              <w:t>重庆市大足区三驱镇大足石刻文创园石文化产业园</w:t>
            </w:r>
          </w:p>
        </w:tc>
        <w:tc>
          <w:tcPr>
            <w:tcW w:w="1937" w:type="dxa"/>
            <w:vAlign w:val="top"/>
          </w:tcPr>
          <w:p>
            <w:pPr>
              <w:spacing w:before="40" w:after="40"/>
              <w:rPr>
                <w:rFonts w:hint="eastAsia" w:ascii="宋体" w:hAnsi="宋体" w:eastAsia="宋体" w:cs="宋体"/>
                <w:kern w:val="2"/>
                <w:sz w:val="21"/>
                <w:szCs w:val="21"/>
                <w:highlight w:val="none"/>
                <w:lang w:val="de-DE" w:eastAsia="ja-JP" w:bidi="ar-SA"/>
              </w:rPr>
            </w:pPr>
            <w:r>
              <w:rPr>
                <w:rFonts w:hint="eastAsia" w:ascii="宋体" w:hAnsi="宋体" w:eastAsia="宋体" w:cs="宋体"/>
                <w:sz w:val="21"/>
                <w:szCs w:val="21"/>
                <w:highlight w:val="none"/>
              </w:rPr>
              <w:t>重庆市九龙坡区走马镇走马建材交易市场15厅10号</w:t>
            </w:r>
          </w:p>
        </w:tc>
        <w:tc>
          <w:tcPr>
            <w:tcW w:w="726" w:type="dxa"/>
            <w:vAlign w:val="center"/>
          </w:tcPr>
          <w:p>
            <w:pPr>
              <w:spacing w:before="40" w:after="40"/>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lang w:val="en-US" w:eastAsia="zh-CN"/>
              </w:rPr>
              <w:t>总人数10人</w:t>
            </w:r>
          </w:p>
        </w:tc>
        <w:tc>
          <w:tcPr>
            <w:tcW w:w="2032" w:type="dxa"/>
            <w:vAlign w:val="center"/>
          </w:tcPr>
          <w:p>
            <w:pPr>
              <w:pStyle w:val="21"/>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rPr>
              <w:t>石材销售</w:t>
            </w:r>
          </w:p>
        </w:tc>
        <w:tc>
          <w:tcPr>
            <w:tcW w:w="1293" w:type="dxa"/>
            <w:vAlign w:val="top"/>
          </w:tcPr>
          <w:p>
            <w:pPr>
              <w:spacing w:before="40" w:after="40"/>
              <w:rPr>
                <w:rFonts w:hint="eastAsia" w:ascii="宋体" w:hAnsi="宋体"/>
                <w:b w:val="0"/>
                <w:bCs/>
                <w:szCs w:val="21"/>
                <w:highlight w:val="none"/>
              </w:rPr>
            </w:pPr>
            <w:r>
              <w:rPr>
                <w:rFonts w:hint="eastAsia" w:ascii="宋体" w:hAnsi="宋体"/>
                <w:b w:val="0"/>
                <w:bCs/>
                <w:szCs w:val="21"/>
                <w:highlight w:val="none"/>
              </w:rPr>
              <w:t>GB/T19001-2016</w:t>
            </w:r>
          </w:p>
          <w:p>
            <w:pPr>
              <w:rPr>
                <w:rFonts w:ascii="Times New Roman" w:hAnsi="Times New Roman" w:eastAsia="黑体" w:cs="Times New Roman"/>
                <w:b w:val="0"/>
                <w:bCs/>
                <w:kern w:val="2"/>
                <w:sz w:val="21"/>
                <w:szCs w:val="21"/>
                <w:highlight w:val="none"/>
                <w:lang w:val="en-US" w:eastAsia="ja-JP" w:bidi="ar-SA"/>
              </w:rPr>
            </w:pP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eastAsia="宋体" w:cs="宋体"/>
                    <w:szCs w:val="21"/>
                    <w:highlight w:val="none"/>
                  </w:rPr>
                  <w:t>■</w:t>
                </w:r>
              </w:p>
            </w:sdtContent>
          </w:sdt>
          <w:p>
            <w:pPr>
              <w:rPr>
                <w:rFonts w:ascii="Times New Roman" w:hAnsi="Times New Roman" w:eastAsia="黑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02</w:t>
            </w:r>
          </w:p>
        </w:tc>
        <w:tc>
          <w:tcPr>
            <w:tcW w:w="2589" w:type="dxa"/>
            <w:vAlign w:val="top"/>
          </w:tcPr>
          <w:p>
            <w:pPr>
              <w:spacing w:before="40" w:after="40"/>
              <w:rPr>
                <w:rFonts w:ascii="Times New Roman" w:hAnsi="Times New Roman" w:eastAsia="黑体" w:cs="Times New Roman"/>
                <w:kern w:val="2"/>
                <w:sz w:val="21"/>
                <w:szCs w:val="21"/>
                <w:highlight w:val="none"/>
                <w:lang w:val="en-US" w:eastAsia="ja-JP" w:bidi="ar-SA"/>
              </w:rPr>
            </w:pPr>
            <w:r>
              <w:rPr>
                <w:sz w:val="21"/>
                <w:szCs w:val="21"/>
                <w:highlight w:val="none"/>
              </w:rPr>
              <w:t>重庆富特石业有限公司</w:t>
            </w:r>
            <w:r>
              <w:rPr>
                <w:rFonts w:hint="eastAsia"/>
                <w:sz w:val="21"/>
                <w:szCs w:val="21"/>
                <w:highlight w:val="none"/>
                <w:lang w:val="en-US" w:eastAsia="zh-CN"/>
              </w:rPr>
              <w:t>/</w:t>
            </w:r>
            <w:r>
              <w:rPr>
                <w:sz w:val="21"/>
                <w:szCs w:val="21"/>
                <w:highlight w:val="none"/>
              </w:rPr>
              <w:t>重庆市大足区三驱镇大足石刻文创园石文化产业园</w:t>
            </w:r>
          </w:p>
        </w:tc>
        <w:tc>
          <w:tcPr>
            <w:tcW w:w="1937" w:type="dxa"/>
            <w:vAlign w:val="top"/>
          </w:tcPr>
          <w:p>
            <w:pPr>
              <w:spacing w:before="40" w:after="40"/>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rPr>
              <w:t>重庆市九龙坡区走马镇走马建材交易市场15厅10号</w:t>
            </w:r>
          </w:p>
        </w:tc>
        <w:tc>
          <w:tcPr>
            <w:tcW w:w="726" w:type="dxa"/>
            <w:vAlign w:val="center"/>
          </w:tcPr>
          <w:p>
            <w:pPr>
              <w:spacing w:before="40" w:after="40"/>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lang w:val="en-US" w:eastAsia="zh-CN"/>
              </w:rPr>
              <w:t>总人数10人</w:t>
            </w:r>
          </w:p>
        </w:tc>
        <w:tc>
          <w:tcPr>
            <w:tcW w:w="2032" w:type="dxa"/>
            <w:vAlign w:val="center"/>
          </w:tcPr>
          <w:p>
            <w:pPr>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rPr>
              <w:t>石材销售所涉及场所的相关环境管理活动</w:t>
            </w:r>
          </w:p>
        </w:tc>
        <w:tc>
          <w:tcPr>
            <w:tcW w:w="1293" w:type="dxa"/>
            <w:vAlign w:val="center"/>
          </w:tcPr>
          <w:p>
            <w:pPr>
              <w:spacing w:before="40" w:after="40"/>
              <w:rPr>
                <w:rFonts w:hint="eastAsia" w:ascii="宋体" w:hAnsi="宋体"/>
                <w:b w:val="0"/>
                <w:bCs/>
                <w:szCs w:val="21"/>
                <w:highlight w:val="none"/>
              </w:rPr>
            </w:pPr>
            <w:r>
              <w:rPr>
                <w:rFonts w:hint="eastAsia" w:ascii="宋体" w:hAnsi="宋体"/>
                <w:b w:val="0"/>
                <w:bCs/>
                <w:szCs w:val="21"/>
                <w:highlight w:val="none"/>
              </w:rPr>
              <w:t>GB/T24001-2016</w:t>
            </w:r>
          </w:p>
          <w:p>
            <w:pPr>
              <w:spacing w:before="40" w:after="40"/>
              <w:rPr>
                <w:rFonts w:ascii="Times New Roman" w:hAnsi="Times New Roman" w:eastAsia="黑体" w:cs="Times New Roman"/>
                <w:kern w:val="2"/>
                <w:sz w:val="21"/>
                <w:szCs w:val="21"/>
                <w:highlight w:val="none"/>
                <w:lang w:val="en-US" w:eastAsia="ja-JP" w:bidi="ar-SA"/>
              </w:rPr>
            </w:pP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eastAsia="宋体" w:cs="宋体"/>
                    <w:szCs w:val="21"/>
                    <w:highlight w:val="none"/>
                  </w:rPr>
                  <w:t>■</w:t>
                </w:r>
              </w:p>
            </w:sdtContent>
          </w:sdt>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03</w:t>
            </w:r>
          </w:p>
        </w:tc>
        <w:tc>
          <w:tcPr>
            <w:tcW w:w="2589" w:type="dxa"/>
            <w:vAlign w:val="top"/>
          </w:tcPr>
          <w:p>
            <w:pPr>
              <w:spacing w:before="40" w:after="40"/>
              <w:rPr>
                <w:rFonts w:ascii="Times New Roman" w:hAnsi="Times New Roman" w:eastAsia="黑体" w:cs="Times New Roman"/>
                <w:kern w:val="2"/>
                <w:sz w:val="21"/>
                <w:szCs w:val="21"/>
                <w:highlight w:val="none"/>
                <w:lang w:val="en-US" w:eastAsia="ja-JP" w:bidi="ar-SA"/>
              </w:rPr>
            </w:pPr>
            <w:r>
              <w:rPr>
                <w:sz w:val="21"/>
                <w:szCs w:val="21"/>
                <w:highlight w:val="none"/>
              </w:rPr>
              <w:t>重庆富特石业有限公司</w:t>
            </w:r>
            <w:r>
              <w:rPr>
                <w:rFonts w:hint="eastAsia"/>
                <w:sz w:val="21"/>
                <w:szCs w:val="21"/>
                <w:highlight w:val="none"/>
                <w:lang w:val="en-US" w:eastAsia="zh-CN"/>
              </w:rPr>
              <w:t>/</w:t>
            </w:r>
            <w:r>
              <w:rPr>
                <w:sz w:val="21"/>
                <w:szCs w:val="21"/>
                <w:highlight w:val="none"/>
              </w:rPr>
              <w:t>重庆市大足区三驱镇大足石刻文创园石文化产业园</w:t>
            </w:r>
          </w:p>
        </w:tc>
        <w:tc>
          <w:tcPr>
            <w:tcW w:w="1937" w:type="dxa"/>
            <w:vAlign w:val="top"/>
          </w:tcPr>
          <w:p>
            <w:pPr>
              <w:spacing w:before="40" w:after="40"/>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rPr>
              <w:t>重庆市九龙坡区走马镇走马建材交易市场15厅10号</w:t>
            </w:r>
          </w:p>
        </w:tc>
        <w:tc>
          <w:tcPr>
            <w:tcW w:w="726" w:type="dxa"/>
            <w:vAlign w:val="center"/>
          </w:tcPr>
          <w:p>
            <w:pPr>
              <w:spacing w:before="40" w:after="40"/>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lang w:val="en-US" w:eastAsia="zh-CN"/>
              </w:rPr>
              <w:t>总人数10人</w:t>
            </w:r>
          </w:p>
        </w:tc>
        <w:tc>
          <w:tcPr>
            <w:tcW w:w="2032" w:type="dxa"/>
            <w:vAlign w:val="center"/>
          </w:tcPr>
          <w:p>
            <w:pPr>
              <w:spacing w:line="400" w:lineRule="exact"/>
              <w:rPr>
                <w:rFonts w:hint="eastAsia" w:ascii="宋体" w:hAnsi="宋体" w:eastAsia="宋体" w:cs="宋体"/>
                <w:kern w:val="2"/>
                <w:sz w:val="21"/>
                <w:szCs w:val="21"/>
                <w:highlight w:val="none"/>
                <w:lang w:val="en-US" w:eastAsia="ja-JP" w:bidi="ar-SA"/>
              </w:rPr>
            </w:pPr>
            <w:r>
              <w:rPr>
                <w:rFonts w:hint="eastAsia" w:ascii="宋体" w:hAnsi="宋体" w:eastAsia="宋体" w:cs="宋体"/>
                <w:sz w:val="21"/>
                <w:szCs w:val="21"/>
                <w:highlight w:val="none"/>
              </w:rPr>
              <w:t>石材销售所涉及场所的相关职业健康安全管理活动</w:t>
            </w:r>
          </w:p>
        </w:tc>
        <w:tc>
          <w:tcPr>
            <w:tcW w:w="1293" w:type="dxa"/>
            <w:vAlign w:val="center"/>
          </w:tcPr>
          <w:p>
            <w:pPr>
              <w:spacing w:before="40" w:after="40"/>
              <w:rPr>
                <w:rFonts w:ascii="Times New Roman" w:hAnsi="Times New Roman" w:eastAsia="黑体" w:cs="Times New Roman"/>
                <w:kern w:val="2"/>
                <w:sz w:val="21"/>
                <w:szCs w:val="21"/>
                <w:highlight w:val="none"/>
                <w:lang w:val="en-US" w:eastAsia="ja-JP" w:bidi="ar-SA"/>
              </w:rPr>
            </w:pPr>
            <w:r>
              <w:rPr>
                <w:rFonts w:hint="eastAsia" w:ascii="宋体" w:hAnsi="宋体"/>
                <w:b w:val="0"/>
                <w:bCs/>
                <w:szCs w:val="21"/>
                <w:highlight w:val="none"/>
              </w:rPr>
              <w:t>GB/T 45001-2020</w:t>
            </w:r>
          </w:p>
        </w:tc>
        <w:tc>
          <w:tcPr>
            <w:tcW w:w="668" w:type="dxa"/>
            <w:shd w:val="clear" w:color="auto" w:fill="FFFFFF"/>
            <w:vAlign w:val="top"/>
          </w:tcPr>
          <w:sdt>
            <w:sdtPr>
              <w:rPr>
                <w:rFonts w:eastAsia="黑体"/>
                <w:szCs w:val="21"/>
                <w:highlight w:val="none"/>
              </w:rPr>
              <w:id w:val="271604670"/>
            </w:sdtPr>
            <w:sdtEndPr>
              <w:rPr>
                <w:rFonts w:eastAsia="黑体"/>
                <w:szCs w:val="21"/>
                <w:highlight w:val="none"/>
              </w:rPr>
            </w:sdtEndPr>
            <w:sdtContent>
              <w:p>
                <w:pPr>
                  <w:rPr>
                    <w:rFonts w:eastAsia="黑体"/>
                    <w:szCs w:val="21"/>
                    <w:highlight w:val="none"/>
                  </w:rPr>
                </w:pPr>
                <w:r>
                  <w:rPr>
                    <w:rFonts w:hint="eastAsia" w:ascii="宋体" w:hAnsi="宋体" w:eastAsia="宋体" w:cs="宋体"/>
                    <w:szCs w:val="21"/>
                    <w:highlight w:val="none"/>
                  </w:rPr>
                  <w:t>■</w:t>
                </w:r>
              </w:p>
            </w:sdtContent>
          </w:sdt>
          <w:p>
            <w:pPr>
              <w:rPr>
                <w:rFonts w:ascii="Times New Roman" w:hAnsi="Times New Roman"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04</w:t>
            </w:r>
          </w:p>
        </w:tc>
        <w:tc>
          <w:tcPr>
            <w:tcW w:w="2589" w:type="dxa"/>
            <w:vAlign w:val="center"/>
          </w:tcPr>
          <w:p>
            <w:pPr>
              <w:rPr>
                <w:highlight w:val="none"/>
                <w:lang w:eastAsia="ja-JP"/>
              </w:rPr>
            </w:pPr>
          </w:p>
        </w:tc>
        <w:tc>
          <w:tcPr>
            <w:tcW w:w="1937" w:type="dxa"/>
            <w:vAlign w:val="center"/>
          </w:tcPr>
          <w:p>
            <w:pPr>
              <w:rPr>
                <w:highlight w:val="none"/>
                <w:lang w:eastAsia="ja-JP"/>
              </w:rPr>
            </w:pPr>
          </w:p>
        </w:tc>
        <w:tc>
          <w:tcPr>
            <w:tcW w:w="726" w:type="dxa"/>
            <w:vAlign w:val="center"/>
          </w:tcPr>
          <w:p>
            <w:pPr>
              <w:rPr>
                <w:highlight w:val="none"/>
                <w:lang w:eastAsia="ja-JP"/>
              </w:rPr>
            </w:pPr>
          </w:p>
        </w:tc>
        <w:tc>
          <w:tcPr>
            <w:tcW w:w="2032" w:type="dxa"/>
            <w:vAlign w:val="center"/>
          </w:tcPr>
          <w:p>
            <w:pPr>
              <w:rPr>
                <w:highlight w:val="none"/>
                <w:lang w:eastAsia="ja-JP"/>
              </w:rPr>
            </w:pPr>
          </w:p>
        </w:tc>
        <w:tc>
          <w:tcPr>
            <w:tcW w:w="1293" w:type="dxa"/>
            <w:vAlign w:val="center"/>
          </w:tcPr>
          <w:p>
            <w:pPr>
              <w:rPr>
                <w:highlight w:val="none"/>
                <w:lang w:eastAsia="ja-JP"/>
              </w:rPr>
            </w:pPr>
          </w:p>
        </w:tc>
        <w:tc>
          <w:tcPr>
            <w:tcW w:w="668" w:type="dxa"/>
            <w:shd w:val="clear" w:color="auto" w:fill="FFFFFF"/>
          </w:tcPr>
          <w:p>
            <w:pPr>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highlight w:val="none"/>
                <w:lang w:eastAsia="ja-JP"/>
              </w:rPr>
            </w:pPr>
            <w:r>
              <w:rPr>
                <w:rFonts w:hint="eastAsia"/>
                <w:highlight w:val="none"/>
                <w:lang w:eastAsia="ja-JP"/>
              </w:rPr>
              <w:t>05</w:t>
            </w:r>
          </w:p>
        </w:tc>
        <w:tc>
          <w:tcPr>
            <w:tcW w:w="2589" w:type="dxa"/>
            <w:vAlign w:val="center"/>
          </w:tcPr>
          <w:p>
            <w:pPr>
              <w:rPr>
                <w:highlight w:val="none"/>
                <w:lang w:eastAsia="ja-JP"/>
              </w:rPr>
            </w:pPr>
          </w:p>
        </w:tc>
        <w:tc>
          <w:tcPr>
            <w:tcW w:w="1937" w:type="dxa"/>
            <w:vAlign w:val="center"/>
          </w:tcPr>
          <w:p>
            <w:pPr>
              <w:rPr>
                <w:highlight w:val="none"/>
                <w:lang w:eastAsia="ja-JP"/>
              </w:rPr>
            </w:pPr>
          </w:p>
        </w:tc>
        <w:tc>
          <w:tcPr>
            <w:tcW w:w="726" w:type="dxa"/>
            <w:vAlign w:val="center"/>
          </w:tcPr>
          <w:p>
            <w:pPr>
              <w:rPr>
                <w:highlight w:val="none"/>
                <w:lang w:eastAsia="ja-JP"/>
              </w:rPr>
            </w:pPr>
          </w:p>
        </w:tc>
        <w:tc>
          <w:tcPr>
            <w:tcW w:w="2032" w:type="dxa"/>
            <w:vAlign w:val="center"/>
          </w:tcPr>
          <w:p>
            <w:pPr>
              <w:rPr>
                <w:highlight w:val="none"/>
                <w:lang w:eastAsia="ja-JP"/>
              </w:rPr>
            </w:pPr>
          </w:p>
        </w:tc>
        <w:tc>
          <w:tcPr>
            <w:tcW w:w="1293" w:type="dxa"/>
            <w:vAlign w:val="center"/>
          </w:tcPr>
          <w:p>
            <w:pPr>
              <w:rPr>
                <w:highlight w:val="none"/>
                <w:lang w:eastAsia="ja-JP"/>
              </w:rPr>
            </w:pPr>
          </w:p>
        </w:tc>
        <w:tc>
          <w:tcPr>
            <w:tcW w:w="668" w:type="dxa"/>
            <w:shd w:val="clear" w:color="auto" w:fill="FFFFFF"/>
          </w:tcPr>
          <w:p>
            <w:pPr>
              <w:rPr>
                <w:highlight w:val="none"/>
              </w:rPr>
            </w:pPr>
            <w:r>
              <w:rPr>
                <w:rFonts w:hint="eastAsia"/>
                <w:highlight w:val="none"/>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Q:29.05.03</w:t>
            </w:r>
          </w:p>
          <w:p>
            <w:r>
              <w:t>E:29.05.03</w:t>
            </w:r>
          </w:p>
          <w:p>
            <w: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Q:29.05.03</w:t>
            </w:r>
          </w:p>
          <w:p>
            <w:r>
              <w:t>E:29.05.03</w:t>
            </w:r>
          </w:p>
          <w:p>
            <w: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GB" w:eastAsia="zh-CN" w:bidi="ar-SA"/>
              </w:rPr>
            </w:pPr>
            <w:r>
              <w:rPr>
                <w:rFonts w:hint="eastAsia"/>
                <w:lang w:val="en-US" w:eastAsia="zh-CN"/>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pPr>
              <w:rPr>
                <w:highlight w:val="none"/>
              </w:rPr>
            </w:pPr>
            <w:r>
              <w:rPr>
                <w:rFonts w:hint="eastAsia"/>
                <w:highlight w:val="none"/>
              </w:rPr>
              <w:t>QMS</w:t>
            </w:r>
          </w:p>
          <w:p>
            <w:pPr>
              <w:rPr>
                <w:highlight w:val="none"/>
              </w:rPr>
            </w:pPr>
          </w:p>
        </w:tc>
        <w:tc>
          <w:tcPr>
            <w:tcW w:w="7380" w:type="dxa"/>
            <w:shd w:val="clear" w:color="auto" w:fill="auto"/>
            <w:vAlign w:val="center"/>
          </w:tcPr>
          <w:p>
            <w:pPr>
              <w:spacing w:line="400" w:lineRule="exact"/>
              <w:rPr>
                <w:rFonts w:ascii="宋体" w:hAnsi="宋体" w:eastAsia="宋体" w:cs="Times New Roman"/>
                <w:b/>
                <w:color w:val="000000"/>
                <w:kern w:val="2"/>
                <w:sz w:val="21"/>
                <w:szCs w:val="21"/>
                <w:highlight w:val="none"/>
                <w:lang w:val="en-US" w:eastAsia="zh-CN" w:bidi="ar-SA"/>
              </w:rPr>
            </w:pPr>
            <w:r>
              <w:rPr>
                <w:highlight w:val="none"/>
              </w:rPr>
              <w:t>石材销售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pPr>
              <w:rPr>
                <w:highlight w:val="none"/>
              </w:rPr>
            </w:pPr>
            <w:r>
              <w:rPr>
                <w:rFonts w:hint="eastAsia"/>
                <w:highlight w:val="none"/>
              </w:rPr>
              <w:t>EcMS</w:t>
            </w:r>
          </w:p>
        </w:tc>
        <w:tc>
          <w:tcPr>
            <w:tcW w:w="7380" w:type="dxa"/>
            <w:shd w:val="clear" w:color="auto" w:fill="auto"/>
            <w:vAlign w:val="center"/>
          </w:tcPr>
          <w:p>
            <w:pPr>
              <w:spacing w:line="400" w:lineRule="exact"/>
              <w:rPr>
                <w:rFonts w:ascii="宋体" w:hAnsi="宋体" w:eastAsia="宋体" w:cs="Times New Roman"/>
                <w:b/>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30" w:type="dxa"/>
            <w:vMerge w:val="continue"/>
            <w:shd w:val="clear" w:color="auto" w:fill="auto"/>
          </w:tcPr>
          <w:p/>
        </w:tc>
        <w:tc>
          <w:tcPr>
            <w:tcW w:w="970" w:type="dxa"/>
            <w:shd w:val="clear" w:color="auto" w:fill="auto"/>
          </w:tcPr>
          <w:p>
            <w:pPr>
              <w:rPr>
                <w:highlight w:val="none"/>
                <w:lang w:val="en-GB"/>
              </w:rPr>
            </w:pPr>
            <w:r>
              <w:rPr>
                <w:rFonts w:hint="eastAsia"/>
                <w:highlight w:val="none"/>
              </w:rPr>
              <w:t>EMS</w:t>
            </w:r>
          </w:p>
          <w:p>
            <w:pPr>
              <w:rPr>
                <w:highlight w:val="none"/>
              </w:rPr>
            </w:pPr>
          </w:p>
        </w:tc>
        <w:tc>
          <w:tcPr>
            <w:tcW w:w="7380" w:type="dxa"/>
            <w:shd w:val="clear" w:color="auto" w:fill="auto"/>
            <w:vAlign w:val="center"/>
          </w:tcPr>
          <w:p>
            <w:pPr>
              <w:rPr>
                <w:rFonts w:ascii="宋体" w:hAnsi="宋体" w:eastAsia="宋体" w:cs="Times New Roman"/>
                <w:b/>
                <w:color w:val="000000"/>
                <w:kern w:val="2"/>
                <w:sz w:val="21"/>
                <w:szCs w:val="21"/>
                <w:highlight w:val="none"/>
                <w:lang w:val="en-US" w:eastAsia="zh-CN" w:bidi="ar-SA"/>
              </w:rPr>
            </w:pPr>
            <w:r>
              <w:rPr>
                <w:highlight w:val="none"/>
              </w:rPr>
              <w:t>石材销售所涉及场所的相关环境管理活动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highlight w:val="none"/>
                <w:lang w:val="en-GB"/>
              </w:rPr>
            </w:pPr>
            <w:r>
              <w:rPr>
                <w:rFonts w:hint="eastAsia"/>
                <w:highlight w:val="none"/>
              </w:rPr>
              <w:t>OHSMS</w:t>
            </w:r>
          </w:p>
          <w:p>
            <w:pPr>
              <w:rPr>
                <w:highlight w:val="none"/>
              </w:rPr>
            </w:pPr>
          </w:p>
        </w:tc>
        <w:tc>
          <w:tcPr>
            <w:tcW w:w="7380" w:type="dxa"/>
            <w:shd w:val="clear" w:color="auto" w:fill="auto"/>
            <w:vAlign w:val="center"/>
          </w:tcPr>
          <w:p>
            <w:pPr>
              <w:spacing w:line="400" w:lineRule="exact"/>
              <w:rPr>
                <w:rFonts w:ascii="宋体" w:hAnsi="宋体" w:eastAsia="宋体" w:cs="Times New Roman"/>
                <w:b/>
                <w:color w:val="000000"/>
                <w:kern w:val="2"/>
                <w:sz w:val="21"/>
                <w:szCs w:val="21"/>
                <w:highlight w:val="none"/>
                <w:lang w:val="en-US" w:eastAsia="zh-CN" w:bidi="ar-SA"/>
              </w:rPr>
            </w:pPr>
            <w:r>
              <w:rPr>
                <w:highlight w:val="none"/>
              </w:rPr>
              <w:t>石材销售所涉及场所的相关职业健康安全管理活动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default" w:eastAsia="宋体"/>
                <w:lang w:val="en-US" w:eastAsia="zh-CN"/>
              </w:rPr>
            </w:pPr>
            <w:r>
              <w:rPr>
                <w:rFonts w:hint="eastAsia"/>
                <w:lang w:val="en-US" w:eastAsia="zh-CN"/>
              </w:rPr>
              <w:t>冉景洲</w:t>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 xml:space="preserve"> </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3128"/>
              <w:gridCol w:w="1347"/>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hint="eastAsia"/>
                    </w:rPr>
                  </w:pPr>
                  <w:r>
                    <w:rPr>
                      <w:rFonts w:hint="eastAsia"/>
                    </w:rPr>
                    <w:t>目标实际完成</w:t>
                  </w:r>
                </w:p>
                <w:p>
                  <w:pPr>
                    <w:pStyle w:val="2"/>
                  </w:pPr>
                  <w:r>
                    <w:rPr>
                      <w:rFonts w:hint="eastAsia"/>
                      <w:color w:val="000000"/>
                      <w:sz w:val="21"/>
                      <w:szCs w:val="21"/>
                    </w:rPr>
                    <w:t>（</w:t>
                  </w:r>
                  <w:r>
                    <w:rPr>
                      <w:rFonts w:hint="eastAsia"/>
                      <w:color w:val="000000"/>
                      <w:sz w:val="21"/>
                      <w:szCs w:val="21"/>
                      <w:lang w:val="en-US" w:eastAsia="zh-CN"/>
                    </w:rPr>
                    <w:t>2021.6-2022.2</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pStyle w:val="13"/>
                    <w:spacing w:line="360" w:lineRule="auto"/>
                    <w:ind w:left="0" w:leftChars="0" w:firstLine="0" w:firstLineChars="0"/>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olor w:val="auto"/>
                      <w:sz w:val="21"/>
                      <w:szCs w:val="21"/>
                      <w:highlight w:val="none"/>
                    </w:rPr>
                    <w:t>销售产品交验合格率：</w:t>
                  </w:r>
                  <w:r>
                    <w:rPr>
                      <w:rFonts w:ascii="宋体" w:hAnsi="宋体"/>
                      <w:color w:val="auto"/>
                      <w:sz w:val="21"/>
                      <w:szCs w:val="21"/>
                      <w:highlight w:val="none"/>
                    </w:rPr>
                    <w:t xml:space="preserve">100% </w:t>
                  </w:r>
                  <w:r>
                    <w:rPr>
                      <w:rFonts w:hint="eastAsia" w:ascii="宋体" w:hAnsi="宋体"/>
                      <w:color w:val="auto"/>
                      <w:sz w:val="21"/>
                      <w:szCs w:val="21"/>
                      <w:highlight w:val="none"/>
                    </w:rPr>
                    <w:t>；</w:t>
                  </w:r>
                </w:p>
              </w:tc>
              <w:tc>
                <w:tcPr>
                  <w:tcW w:w="3136" w:type="dxa"/>
                  <w:shd w:val="clear" w:color="auto" w:fill="auto"/>
                  <w:vAlign w:val="center"/>
                </w:tcPr>
                <w:p>
                  <w:pPr>
                    <w:spacing w:line="360" w:lineRule="auto"/>
                    <w:rPr>
                      <w:rFonts w:hint="default" w:ascii="Times New Roman" w:hAnsi="Times New Roman" w:eastAsia="宋体" w:cs="Times New Roman"/>
                      <w:color w:val="000000"/>
                      <w:kern w:val="2"/>
                      <w:sz w:val="21"/>
                      <w:szCs w:val="18"/>
                      <w:highlight w:val="yellow"/>
                      <w:lang w:val="en-GB" w:eastAsia="zh-CN" w:bidi="ar-SA"/>
                    </w:rPr>
                  </w:pPr>
                  <w:r>
                    <w:rPr>
                      <w:rFonts w:hint="eastAsia" w:ascii="宋体" w:hAnsi="宋体" w:cs="宋体"/>
                      <w:kern w:val="0"/>
                      <w:highlight w:val="none"/>
                    </w:rPr>
                    <w:t>合格率=合格量÷检验总数量×100%；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center"/>
                </w:tcPr>
                <w:p>
                  <w:pPr>
                    <w:pStyle w:val="13"/>
                    <w:spacing w:line="360" w:lineRule="auto"/>
                    <w:ind w:left="0" w:leftChars="0" w:firstLine="0" w:firstLineChars="0"/>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olor w:val="auto"/>
                      <w:sz w:val="21"/>
                      <w:szCs w:val="21"/>
                      <w:highlight w:val="none"/>
                    </w:rPr>
                    <w:t>产品按期交付率≥98%；</w:t>
                  </w:r>
                  <w:r>
                    <w:rPr>
                      <w:rFonts w:ascii="宋体" w:hAnsi="宋体"/>
                      <w:color w:val="auto"/>
                      <w:sz w:val="21"/>
                      <w:szCs w:val="21"/>
                      <w:highlight w:val="none"/>
                    </w:rPr>
                    <w:t xml:space="preserve"> </w:t>
                  </w:r>
                </w:p>
              </w:tc>
              <w:tc>
                <w:tcPr>
                  <w:tcW w:w="3136"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highlight w:val="none"/>
                    </w:rPr>
                    <w:t>产品按期交付率=按期交付数量÷需交付总数量×100%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91" w:type="dxa"/>
                  <w:shd w:val="clear" w:color="auto" w:fill="auto"/>
                  <w:vAlign w:val="center"/>
                </w:tcPr>
                <w:p>
                  <w:pPr>
                    <w:pStyle w:val="13"/>
                    <w:spacing w:line="360" w:lineRule="auto"/>
                    <w:ind w:left="0" w:leftChars="0" w:firstLine="0" w:firstLineChars="0"/>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olor w:val="auto"/>
                      <w:sz w:val="21"/>
                      <w:szCs w:val="21"/>
                      <w:highlight w:val="none"/>
                    </w:rPr>
                    <w:t>客户满意度≥</w:t>
                  </w:r>
                  <w:r>
                    <w:rPr>
                      <w:rFonts w:ascii="宋体" w:hAnsi="宋体"/>
                      <w:color w:val="auto"/>
                      <w:sz w:val="21"/>
                      <w:szCs w:val="21"/>
                      <w:highlight w:val="none"/>
                    </w:rPr>
                    <w:t>9</w:t>
                  </w:r>
                  <w:r>
                    <w:rPr>
                      <w:rFonts w:hint="eastAsia" w:ascii="宋体" w:hAnsi="宋体"/>
                      <w:color w:val="auto"/>
                      <w:sz w:val="21"/>
                      <w:szCs w:val="21"/>
                      <w:highlight w:val="none"/>
                    </w:rPr>
                    <w:t>0分；</w:t>
                  </w:r>
                  <w:r>
                    <w:rPr>
                      <w:rFonts w:ascii="宋体" w:hAnsi="宋体"/>
                      <w:color w:val="auto"/>
                      <w:sz w:val="21"/>
                      <w:szCs w:val="21"/>
                      <w:highlight w:val="none"/>
                    </w:rPr>
                    <w:t xml:space="preserve"> </w:t>
                  </w:r>
                </w:p>
              </w:tc>
              <w:tc>
                <w:tcPr>
                  <w:tcW w:w="3136" w:type="dxa"/>
                  <w:shd w:val="clear" w:color="auto" w:fill="auto"/>
                  <w:vAlign w:val="center"/>
                </w:tcPr>
                <w:p>
                  <w:pPr>
                    <w:spacing w:line="360" w:lineRule="auto"/>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kern w:val="0"/>
                      <w:highlight w:val="none"/>
                    </w:rPr>
                    <w:t>满意度=打分总分数÷调查数量</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cs="Times New Roman"/>
                      <w:color w:val="auto"/>
                      <w:sz w:val="21"/>
                      <w:szCs w:val="21"/>
                      <w:highlight w:val="none"/>
                      <w:lang w:val="en-US" w:eastAsia="zh-CN"/>
                    </w:rPr>
                    <w:t>经营部</w:t>
                  </w:r>
                </w:p>
              </w:tc>
              <w:tc>
                <w:tcPr>
                  <w:tcW w:w="1774" w:type="dxa"/>
                  <w:shd w:val="clear" w:color="auto" w:fill="auto"/>
                  <w:vAlign w:val="center"/>
                </w:tcPr>
                <w:p>
                  <w:pPr>
                    <w:jc w:val="center"/>
                    <w:rPr>
                      <w:rFonts w:hint="default" w:ascii="Times New Roman" w:hAnsi="Times New Roman" w:eastAsia="宋体" w:cs="Times New Roman"/>
                      <w:color w:val="000000"/>
                      <w:kern w:val="2"/>
                      <w:sz w:val="21"/>
                      <w:szCs w:val="18"/>
                      <w:highlight w:val="yellow"/>
                      <w:lang w:val="en-US" w:eastAsia="zh-CN" w:bidi="ar-SA"/>
                    </w:rPr>
                  </w:pPr>
                  <w:r>
                    <w:rPr>
                      <w:rFonts w:hint="eastAsia" w:ascii="宋体" w:hAnsi="宋体"/>
                      <w:highlight w:val="none"/>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highlight w:val="yellow"/>
              </w:rPr>
            </w:pPr>
            <w:r>
              <w:rPr>
                <w:rFonts w:hint="eastAsia"/>
                <w:highlight w:val="none"/>
              </w:rPr>
              <w:t>建筑面积</w:t>
            </w:r>
            <w:r>
              <w:rPr>
                <w:rFonts w:hint="eastAsia"/>
                <w:highlight w:val="none"/>
                <w:lang w:eastAsia="zh-CN"/>
              </w:rPr>
              <w:t>50平方米左右</w:t>
            </w:r>
            <w:r>
              <w:rPr>
                <w:rFonts w:hint="eastAsia"/>
                <w:highlight w:val="none"/>
              </w:rPr>
              <w:t xml:space="preserve">；生产车间  个；库房  </w:t>
            </w:r>
            <w:r>
              <w:rPr>
                <w:rFonts w:hint="eastAsia"/>
                <w:highlight w:val="none"/>
                <w:lang w:val="en-US" w:eastAsia="zh-CN"/>
              </w:rPr>
              <w:t xml:space="preserve"> 1</w:t>
            </w:r>
            <w:r>
              <w:rPr>
                <w:rFonts w:hint="eastAsia"/>
                <w:highlight w:val="none"/>
              </w:rPr>
              <w:t xml:space="preserve">  个；实验室   个；</w:t>
            </w:r>
          </w:p>
          <w:p>
            <w:pPr>
              <w:shd w:val="clear" w:color="auto" w:fill="C7DAF1" w:themeFill="text2" w:themeFillTint="32"/>
              <w:rPr>
                <w:rFonts w:hint="eastAsia"/>
                <w:highlight w:val="none"/>
                <w:lang w:eastAsia="zh-CN"/>
              </w:rPr>
            </w:pPr>
            <w:r>
              <w:rPr>
                <w:rFonts w:hint="eastAsia"/>
                <w:highlight w:val="none"/>
              </w:rPr>
              <w:t>主要生产设备有：</w:t>
            </w:r>
            <w:r>
              <w:rPr>
                <w:rFonts w:hint="eastAsia"/>
                <w:highlight w:val="none"/>
                <w:lang w:eastAsia="zh-CN"/>
              </w:rPr>
              <w:t>电脑、打印机等办公设备等。</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954" w:type="dxa"/>
                </w:tcPr>
                <w:p>
                  <w:pPr>
                    <w:shd w:val="clear" w:color="auto" w:fill="C7DAF1" w:themeFill="text2" w:themeFillTint="32"/>
                    <w:jc w:val="left"/>
                    <w:rPr>
                      <w:highlight w:val="yellow"/>
                    </w:rPr>
                  </w:pPr>
                  <w:r>
                    <w:rPr>
                      <w:sz w:val="20"/>
                    </w:rPr>
                    <w:t>石材销售</w:t>
                  </w:r>
                </w:p>
              </w:tc>
              <w:tc>
                <w:tcPr>
                  <w:tcW w:w="2303" w:type="dxa"/>
                </w:tcPr>
                <w:p>
                  <w:pPr>
                    <w:shd w:val="clear" w:color="auto" w:fill="C7DAF1" w:themeFill="text2" w:themeFillTint="32"/>
                    <w:jc w:val="left"/>
                    <w:rPr>
                      <w:rFonts w:hint="default" w:eastAsia="宋体"/>
                      <w:highlight w:val="none"/>
                      <w:lang w:val="en-US" w:eastAsia="zh-CN"/>
                    </w:rPr>
                  </w:pPr>
                  <w:r>
                    <w:rPr>
                      <w:rFonts w:hint="eastAsia"/>
                      <w:highlight w:val="none"/>
                      <w:lang w:val="en-US" w:eastAsia="zh-CN"/>
                    </w:rPr>
                    <w:t>销售过程</w:t>
                  </w:r>
                </w:p>
              </w:tc>
              <w:tc>
                <w:tcPr>
                  <w:tcW w:w="3265" w:type="dxa"/>
                </w:tcPr>
                <w:p>
                  <w:pPr>
                    <w:shd w:val="clear" w:color="auto" w:fill="C7DAF1" w:themeFill="text2" w:themeFillTint="32"/>
                    <w:jc w:val="left"/>
                    <w:rPr>
                      <w:rFonts w:hint="eastAsia" w:eastAsiaTheme="minorEastAsia"/>
                      <w:highlight w:val="none"/>
                      <w:lang w:val="en-US" w:eastAsia="zh-CN"/>
                    </w:rPr>
                  </w:pPr>
                  <w:r>
                    <w:rPr>
                      <w:rFonts w:hint="eastAsia"/>
                      <w:color w:val="auto"/>
                      <w:sz w:val="21"/>
                      <w:szCs w:val="21"/>
                      <w:highlight w:val="none"/>
                      <w:lang w:val="en-US" w:eastAsia="zh-CN"/>
                    </w:rPr>
                    <w:t>产品</w:t>
                  </w:r>
                  <w:r>
                    <w:rPr>
                      <w:rFonts w:hint="eastAsia" w:eastAsia="宋体"/>
                      <w:color w:val="auto"/>
                      <w:sz w:val="21"/>
                      <w:szCs w:val="21"/>
                      <w:highlight w:val="none"/>
                    </w:rPr>
                    <w:t>质量、</w:t>
                  </w:r>
                  <w:r>
                    <w:rPr>
                      <w:rFonts w:hint="eastAsia"/>
                      <w:color w:val="auto"/>
                      <w:sz w:val="21"/>
                      <w:szCs w:val="21"/>
                      <w:highlight w:val="none"/>
                      <w:lang w:val="en-US" w:eastAsia="zh-CN"/>
                    </w:rPr>
                    <w:t>交货</w:t>
                  </w:r>
                  <w:r>
                    <w:rPr>
                      <w:rFonts w:hint="eastAsia" w:eastAsia="宋体"/>
                      <w:color w:val="auto"/>
                      <w:sz w:val="21"/>
                      <w:szCs w:val="21"/>
                      <w:highlight w:val="none"/>
                    </w:rPr>
                    <w:t>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rPr>
              <w:t xml:space="preserve"> ，</w:t>
            </w:r>
          </w:p>
          <w:p>
            <w:pPr>
              <w:shd w:val="clear" w:color="auto" w:fill="C7DAF1" w:themeFill="text2" w:themeFillTint="32"/>
              <w:jc w:val="left"/>
              <w:rPr>
                <w:rFonts w:hint="default"/>
                <w:highlight w:val="none"/>
                <w:lang w:val="en-US"/>
              </w:rPr>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eastAsia="zh-CN"/>
              </w:rPr>
              <w:t>：</w:t>
            </w:r>
            <w:r>
              <w:rPr>
                <w:rFonts w:hint="eastAsia"/>
                <w:highlight w:val="none"/>
                <w:u w:val="single"/>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w:t>
            </w:r>
            <w:r>
              <w:rPr>
                <w:rFonts w:hint="eastAsia" w:ascii="宋体" w:hAnsi="宋体" w:eastAsia="宋体" w:cs="宋体"/>
              </w:rPr>
              <w:t>■</w:t>
            </w:r>
            <w:r>
              <w:rPr>
                <w:rFonts w:hint="eastAsia"/>
              </w:rPr>
              <w:t>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2023年1月18日-19日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2023年01月30日</w:t>
            </w:r>
            <w:r>
              <w:rPr>
                <w:rFonts w:hint="eastAsia"/>
                <w:highlight w:val="none"/>
              </w:rPr>
              <w:t>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宋体" w:hAnsi="宋体" w:eastAsia="宋体" w:cs="宋体"/>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167"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ascii="Wingdings" w:hAnsi="Wingdings"/>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ascii="Wingdings" w:hAnsi="Wingdings"/>
                      <w:lang w:eastAsia="zh-CN"/>
                    </w:rPr>
                    <w:t>□</w:t>
                  </w:r>
                  <w:r>
                    <w:rPr>
                      <w:rFonts w:hint="eastAsia"/>
                    </w:rPr>
                    <w:t xml:space="preserve">监管  </w:t>
                  </w:r>
                  <w:r>
                    <w:rPr>
                      <w:rFonts w:hint="eastAsia" w:ascii="Wingdings" w:hAnsi="Wingdings"/>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ascii="Wingdings" w:hAnsi="Wingdings"/>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Wingdings" w:hAnsi="Wingdings"/>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ascii="Wingdings" w:hAnsi="Wingdings"/>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ascii="Wingdings" w:hAnsi="Wingdings"/>
                <w:lang w:eastAsia="zh-CN"/>
              </w:rPr>
              <w:t>□</w:t>
            </w:r>
            <w:r>
              <w:rPr>
                <w:rFonts w:hint="eastAsia"/>
              </w:rPr>
              <w:t xml:space="preserve">生产 </w:t>
            </w:r>
            <w:r>
              <w:rPr>
                <w:rFonts w:hint="eastAsia"/>
                <w:lang w:eastAsia="zh-CN"/>
              </w:rPr>
              <w:t>■</w:t>
            </w:r>
            <w:r>
              <w:rPr>
                <w:rFonts w:hint="eastAsia"/>
              </w:rPr>
              <w:t xml:space="preserve">检验 </w:t>
            </w:r>
            <w:r>
              <w:rPr>
                <w:rFonts w:hint="eastAsia" w:ascii="宋体" w:hAnsi="宋体" w:eastAsia="宋体" w:cs="宋体"/>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w:t>
            </w:r>
            <w:r>
              <w:rPr>
                <w:rFonts w:hint="eastAsia" w:ascii="Wingdings" w:hAnsi="Wingdings"/>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color w:val="000000"/>
                <w:szCs w:val="18"/>
                <w:u w:val="single"/>
              </w:rPr>
              <w:t xml:space="preserve"> </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潜在</w:t>
                  </w:r>
                  <w:r>
                    <w:rPr>
                      <w:rFonts w:hint="eastAsia" w:ascii="Times New Roman" w:hAnsi="Times New Roman" w:eastAsia="宋体" w:cs="Times New Roman"/>
                    </w:rPr>
                    <w:t>火灾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固体废弃物排放</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ascii="Wingdings" w:hAnsi="Wingdings"/>
                <w:lang w:eastAsia="zh-CN"/>
              </w:rPr>
              <w:t>□</w:t>
            </w:r>
            <w:r>
              <w:rPr>
                <w:rFonts w:hint="eastAsia"/>
              </w:rPr>
              <w:t xml:space="preserve">能源消耗  </w:t>
            </w:r>
            <w:r>
              <w:rPr>
                <w:rFonts w:hint="eastAsia" w:ascii="Wingdings" w:hAnsi="Wingdings"/>
                <w:lang w:eastAsia="zh-CN"/>
              </w:rPr>
              <w:t>□</w:t>
            </w:r>
            <w:r>
              <w:rPr>
                <w:rFonts w:hint="eastAsia"/>
              </w:rPr>
              <w:t xml:space="preserve">资源消耗 □废水排放  □废气排放 □粉尘排放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Times New Roman" w:hAnsi="Times New Roman" w:eastAsia="宋体" w:cs="Times New Roman"/>
              </w:rPr>
              <w:t>固体废弃物排放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固体废弃物处置率100%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color w:val="000000" w:themeColor="text1"/>
                      <w:kern w:val="0"/>
                      <w:sz w:val="21"/>
                      <w:szCs w:val="21"/>
                      <w:highlight w:val="none"/>
                      <w:lang w:eastAsia="zh-CN"/>
                    </w:rPr>
                    <w:t>重大火灾事故为0</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组织应确定、提供并维护所</w:t>
            </w:r>
            <w:r>
              <w:rPr>
                <w:rFonts w:hint="eastAsia" w:ascii="Times New Roman" w:hAnsi="Times New Roman" w:eastAsia="宋体" w:cs="Times New Roman"/>
                <w:highlight w:val="none"/>
              </w:rPr>
              <w:t>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cs="Times New Roman"/>
                <w:highlight w:val="none"/>
                <w:lang w:val="en-US" w:eastAsia="zh-CN"/>
              </w:rPr>
              <w:t>1</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EBF1DE" w:themeFill="accent3" w:themeFillTint="32"/>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highlight w:val="none"/>
                    </w:rPr>
                  </w:pPr>
                  <w:r>
                    <w:rPr>
                      <w:rFonts w:hint="eastAsia"/>
                      <w:highlight w:val="none"/>
                    </w:rPr>
                    <w:t>重要环境因素</w:t>
                  </w:r>
                </w:p>
              </w:tc>
              <w:tc>
                <w:tcPr>
                  <w:tcW w:w="3258"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固体废弃物排放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eastAsia="zh-CN"/>
                    </w:rPr>
                    <w:t>火灾</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highlight w:val="none"/>
              </w:rPr>
              <w:t>于</w:t>
            </w:r>
            <w:r>
              <w:rPr>
                <w:rFonts w:hint="eastAsia"/>
                <w:highlight w:val="none"/>
                <w:u w:val="single"/>
                <w:lang w:eastAsia="zh-CN"/>
              </w:rPr>
              <w:t>2022年12月20日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；并总结</w:t>
            </w:r>
            <w:r>
              <w:rPr>
                <w:rFonts w:hint="eastAsia"/>
              </w:rPr>
              <w:t xml:space="preserve">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yellow"/>
                <w:lang w:eastAsia="zh-CN"/>
              </w:rPr>
            </w:pPr>
            <w:r>
              <w:rPr>
                <w:rFonts w:hint="eastAsia"/>
                <w:highlight w:val="none"/>
                <w:lang w:eastAsia="zh-CN"/>
              </w:rPr>
              <w:t>■</w:t>
            </w:r>
            <w:r>
              <w:rPr>
                <w:rFonts w:hint="eastAsia"/>
                <w:highlight w:val="none"/>
              </w:rPr>
              <w:t xml:space="preserve">定期（每年） </w:t>
            </w:r>
            <w:r>
              <w:rPr>
                <w:rFonts w:hint="eastAsia"/>
              </w:rPr>
              <w:t>：</w:t>
            </w:r>
            <w:r>
              <w:rPr>
                <w:rFonts w:hint="eastAsia"/>
                <w:highlight w:val="none"/>
                <w:u w:val="single"/>
                <w:lang w:eastAsia="zh-CN"/>
              </w:rPr>
              <w:t>2022年12月30日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2023年1月18日-19日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2023年01月30日</w:t>
            </w:r>
            <w:r>
              <w:rPr>
                <w:rFonts w:hint="eastAsia"/>
                <w:highlight w:val="none"/>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ascii="Wingdings" w:hAnsi="Wingdings"/>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ascii="Wingdings" w:hAnsi="Wingdings"/>
                      <w:lang w:eastAsia="zh-CN"/>
                    </w:rPr>
                    <w:t>□</w:t>
                  </w:r>
                  <w:r>
                    <w:rPr>
                      <w:rFonts w:hint="eastAsia"/>
                    </w:rPr>
                    <w:t xml:space="preserve">技术 </w:t>
                  </w:r>
                  <w:r>
                    <w:rPr>
                      <w:rFonts w:hint="eastAsia" w:ascii="宋体" w:hAnsi="宋体" w:eastAsia="宋体" w:cs="宋体"/>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color w:val="000000"/>
                <w:szCs w:val="18"/>
                <w:u w:val="single"/>
              </w:rPr>
              <w:t xml:space="preserve"> </w:t>
            </w:r>
            <w:r>
              <w:rPr>
                <w:rFonts w:hint="eastAsia"/>
                <w:color w:val="000000"/>
                <w:szCs w:val="18"/>
                <w:u w:val="single"/>
                <w:lang w:eastAsia="zh-CN"/>
              </w:rPr>
              <w:t>诚信至上，质量为主，优质高效；节能降耗，防治污染，保护环境；安全第一，保障健康，减少风险；全员参与，遵守法规，持续改进</w:t>
            </w:r>
            <w:r>
              <w:rPr>
                <w:rFonts w:hint="eastAsia" w:ascii="Times New Roman" w:hAnsi="Times New Roman" w:eastAsia="宋体" w:cs="Times New Roman"/>
                <w:color w:val="000000"/>
                <w:szCs w:val="18"/>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130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严水仙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触电</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r>
                    <w:rPr>
                      <w:rFonts w:hint="eastAsia" w:asciiTheme="minorEastAsia" w:hAnsiTheme="minorEastAsia" w:eastAsiaTheme="minorEastAsia"/>
                      <w:b w:val="0"/>
                      <w:bCs w:val="0"/>
                      <w:sz w:val="21"/>
                      <w:szCs w:val="21"/>
                      <w:highlight w:val="none"/>
                      <w:lang w:eastAsia="zh-CN"/>
                    </w:rPr>
                    <w:t>。</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yellow"/>
                      <w:lang w:val="en-US" w:eastAsia="zh-CN"/>
                    </w:rPr>
                  </w:pPr>
                </w:p>
              </w:tc>
              <w:tc>
                <w:tcPr>
                  <w:tcW w:w="3965" w:type="dxa"/>
                  <w:vAlign w:val="top"/>
                </w:tcPr>
                <w:p>
                  <w:pPr>
                    <w:rPr>
                      <w:rFonts w:hint="eastAsia" w:ascii="Times New Roman" w:hAnsi="Times New Roman" w:cs="Times New Roman" w:eastAsiaTheme="minorEastAsia"/>
                      <w:kern w:val="2"/>
                      <w:sz w:val="21"/>
                      <w:szCs w:val="24"/>
                      <w:highlight w:val="yellow"/>
                      <w:lang w:val="en-US" w:eastAsia="zh-CN" w:bidi="ar-SA"/>
                    </w:rPr>
                  </w:pP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rPr>
              <w:t>□</w:t>
            </w:r>
            <w:r>
              <w:rPr>
                <w:rFonts w:hint="eastAsia"/>
                <w:highlight w:val="none"/>
              </w:rPr>
              <w:t>其他</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pPr>
              <w:rPr>
                <w:highlight w:val="none"/>
              </w:rPr>
            </w:pPr>
            <w:r>
              <w:rPr>
                <w:rFonts w:hint="eastAsia"/>
                <w:highlight w:val="none"/>
              </w:rPr>
              <w:t xml:space="preserve">□安全现状评估报告表日期： </w:t>
            </w:r>
          </w:p>
          <w:p>
            <w:pPr>
              <w:rPr>
                <w:highlight w:val="none"/>
              </w:rPr>
            </w:pPr>
            <w:r>
              <w:rPr>
                <w:rFonts w:hint="eastAsia"/>
                <w:highlight w:val="none"/>
              </w:rPr>
              <w:t xml:space="preserve">□职业病体检报告书日期：   </w:t>
            </w:r>
          </w:p>
          <w:p>
            <w:pPr>
              <w:rPr>
                <w:rFonts w:hint="default" w:eastAsia="宋体"/>
                <w:highlight w:val="none"/>
                <w:lang w:val="en-US" w:eastAsia="zh-CN"/>
              </w:rPr>
            </w:pPr>
            <w:r>
              <w:rPr>
                <w:rFonts w:hint="eastAsia"/>
                <w:highlight w:val="none"/>
                <w:lang w:eastAsia="zh-CN"/>
              </w:rPr>
              <w:t>□</w:t>
            </w:r>
            <w:r>
              <w:rPr>
                <w:rFonts w:hint="eastAsia"/>
                <w:highlight w:val="none"/>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s="Times New Roman"/>
                      <w:color w:val="000000"/>
                      <w:szCs w:val="18"/>
                      <w:highlight w:val="none"/>
                      <w:lang w:val="en-US" w:eastAsia="zh-CN"/>
                    </w:rPr>
                    <w:t>意外伤亡事故为0。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p>
              </w:tc>
              <w:tc>
                <w:tcPr>
                  <w:tcW w:w="3136" w:type="dxa"/>
                  <w:shd w:val="clear" w:color="auto" w:fill="auto"/>
                  <w:vAlign w:val="center"/>
                </w:tcPr>
                <w:p>
                  <w:pPr>
                    <w:rPr>
                      <w:rFonts w:ascii="宋体" w:hAnsi="宋体"/>
                      <w:highlight w:val="yellow"/>
                    </w:rPr>
                  </w:pPr>
                </w:p>
              </w:tc>
              <w:tc>
                <w:tcPr>
                  <w:tcW w:w="1350" w:type="dxa"/>
                  <w:shd w:val="clear" w:color="auto" w:fill="auto"/>
                  <w:vAlign w:val="center"/>
                </w:tcPr>
                <w:p>
                  <w:pPr>
                    <w:rPr>
                      <w:rFonts w:ascii="宋体" w:hAnsi="宋体"/>
                      <w:highlight w:val="yellow"/>
                    </w:rPr>
                  </w:pPr>
                </w:p>
              </w:tc>
              <w:tc>
                <w:tcPr>
                  <w:tcW w:w="1774" w:type="dxa"/>
                  <w:shd w:val="clear" w:color="auto" w:fill="auto"/>
                  <w:vAlign w:val="center"/>
                </w:tcPr>
                <w:p>
                  <w:pPr>
                    <w:jc w:val="left"/>
                    <w:rPr>
                      <w:rFonts w:hint="default" w:ascii="宋体" w:hAnsi="宋体" w:eastAsia="宋体"/>
                      <w:highlight w:val="yellow"/>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highlight w:val="none"/>
              </w:rPr>
            </w:pPr>
            <w:r>
              <w:rPr>
                <w:rFonts w:hint="eastAsia"/>
              </w:rPr>
              <w:t>组织</w:t>
            </w:r>
            <w:r>
              <w:rPr>
                <w:rFonts w:hint="eastAsia" w:ascii="Times New Roman" w:hAnsi="Times New Roman" w:eastAsia="宋体" w:cs="Times New Roman"/>
              </w:rPr>
              <w:t>应确定、提供并维护所需的基础设施情</w:t>
            </w:r>
            <w:r>
              <w:rPr>
                <w:rFonts w:hint="eastAsia" w:ascii="Times New Roman" w:hAnsi="Times New Roman" w:eastAsia="宋体" w:cs="Times New Roman"/>
                <w:highlight w:val="none"/>
              </w:rPr>
              <w:t>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eastAsia="zh-CN"/>
              </w:rPr>
              <w:t>50平方米左右</w:t>
            </w:r>
            <w:r>
              <w:rPr>
                <w:rFonts w:hint="eastAsia" w:ascii="Times New Roman" w:hAnsi="Times New Roman" w:eastAsia="宋体" w:cs="Times New Roman"/>
                <w:highlight w:val="none"/>
              </w:rPr>
              <w:t xml:space="preserve">；生产车间  个；库房 </w:t>
            </w:r>
            <w:r>
              <w:rPr>
                <w:rFonts w:hint="eastAsia" w:ascii="Times New Roman" w:hAnsi="Times New Roman" w:eastAsia="宋体" w:cs="Times New Roman"/>
                <w:highlight w:val="none"/>
                <w:lang w:val="en-US" w:eastAsia="zh-CN"/>
              </w:rPr>
              <w:t xml:space="preserve"> </w:t>
            </w:r>
            <w:r>
              <w:rPr>
                <w:rFonts w:hint="eastAsia" w:cs="Times New Roman"/>
                <w:highlight w:val="none"/>
                <w:lang w:val="en-US" w:eastAsia="zh-CN"/>
              </w:rPr>
              <w:t>1</w:t>
            </w:r>
            <w:r>
              <w:rPr>
                <w:rFonts w:hint="eastAsia" w:ascii="Times New Roman" w:hAnsi="Times New Roman" w:eastAsia="宋体" w:cs="Times New Roman"/>
                <w:highlight w:val="none"/>
              </w:rPr>
              <w:t xml:space="preserve">  个；实验室   个；</w:t>
            </w:r>
          </w:p>
          <w:p>
            <w:pPr>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rPr>
              <w:t>主要生产设备有：</w:t>
            </w:r>
            <w:r>
              <w:rPr>
                <w:rFonts w:hint="eastAsia" w:cs="Times New Roman"/>
                <w:highlight w:val="none"/>
                <w:lang w:eastAsia="zh-CN"/>
              </w:rPr>
              <w:t>电脑、打印机等办公设备</w:t>
            </w:r>
            <w:r>
              <w:rPr>
                <w:rFonts w:hint="eastAsia" w:ascii="Times New Roman" w:hAnsi="Times New Roman" w:eastAsia="宋体" w:cs="Times New Roman"/>
                <w:highlight w:val="none"/>
                <w:lang w:eastAsia="zh-CN"/>
              </w:rPr>
              <w:t>等。</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 xml:space="preserve">□除尘装置  </w:t>
                  </w:r>
                  <w:r>
                    <w:rPr>
                      <w:rFonts w:hint="eastAsia" w:ascii="Wingdings" w:hAnsi="Wingdings"/>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ascii="Wingdings" w:hAnsi="Wingdings"/>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rFonts w:hint="default" w:eastAsia="宋体"/>
                      <w:highlight w:val="none"/>
                      <w:lang w:val="en-US" w:eastAsia="zh-CN"/>
                    </w:rPr>
                  </w:pPr>
                  <w:r>
                    <w:rPr>
                      <w:rFonts w:hint="eastAsia" w:ascii="宋体" w:hAnsi="宋体" w:eastAsia="宋体" w:cs="宋体"/>
                      <w:highlight w:val="none"/>
                      <w:lang w:val="en-US" w:eastAsia="zh-CN"/>
                    </w:rPr>
                    <w:t>■</w:t>
                  </w:r>
                  <w:r>
                    <w:rPr>
                      <w:rFonts w:hint="eastAsia"/>
                      <w:highlight w:val="none"/>
                      <w:lang w:val="en-US" w:eastAsia="zh-CN"/>
                    </w:rPr>
                    <w:t>管理方案、应急演练</w:t>
                  </w: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2022年12月20日</w:t>
            </w:r>
            <w:r>
              <w:rPr>
                <w:rFonts w:hint="eastAsia" w:eastAsia="宋体"/>
                <w:highlight w:val="none"/>
              </w:rPr>
              <w:t>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ascii="Times New Roman" w:hAnsi="Times New Roman" w:eastAsia="宋体" w:cs="Times New Roman"/>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cs="Times New Roman"/>
                <w:highlight w:val="none"/>
                <w:u w:val="single"/>
                <w:lang w:eastAsia="zh-CN"/>
              </w:rPr>
              <w:t>2022年12月30日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s="Times New Roman"/>
                <w:color w:val="000000"/>
                <w:szCs w:val="18"/>
                <w:u w:val="single"/>
                <w:lang w:eastAsia="zh-CN"/>
              </w:rPr>
              <w:t>2023年1月18日-19日</w:t>
            </w:r>
            <w:r>
              <w:rPr>
                <w:rFonts w:hint="eastAsia"/>
              </w:rPr>
              <w:t>实施了职业健康安全管理体系内部审核，对职业健康安全管理体系的符合性和有效性进行了审核。内</w:t>
            </w:r>
            <w:r>
              <w:rPr>
                <w:rFonts w:hint="eastAsia"/>
                <w:highlight w:val="none"/>
              </w:rPr>
              <w:t xml:space="preserve">审发现的 </w:t>
            </w:r>
            <w:r>
              <w:rPr>
                <w:rFonts w:hint="eastAsia"/>
                <w:highlight w:val="none"/>
                <w:lang w:val="en-US" w:eastAsia="zh-CN"/>
              </w:rPr>
              <w:t>1</w:t>
            </w:r>
            <w:r>
              <w:rPr>
                <w:rFonts w:hint="eastAsia"/>
                <w:highlight w:val="none"/>
              </w:rPr>
              <w:t xml:space="preserve"> 项不符</w:t>
            </w:r>
            <w:r>
              <w:rPr>
                <w:rFonts w:hint="eastAsia"/>
              </w:rPr>
              <w:t>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间隔，在</w:t>
            </w:r>
            <w:r>
              <w:rPr>
                <w:rFonts w:hint="eastAsia" w:cs="Times New Roman"/>
                <w:color w:val="000000"/>
                <w:szCs w:val="18"/>
                <w:highlight w:val="none"/>
                <w:u w:val="single"/>
                <w:lang w:eastAsia="zh-CN"/>
              </w:rPr>
              <w:t>2023年01月30日</w:t>
            </w:r>
            <w:r>
              <w:rPr>
                <w:rFonts w:hint="eastAsia"/>
                <w:highlight w:val="none"/>
              </w:rPr>
              <w:t>对组织的职业健康安全管理体系进行了评审，以确保其持续的适宜性、充分性和有效性；管理评审输</w:t>
            </w:r>
            <w:r>
              <w:rPr>
                <w:rFonts w:hint="eastAsia"/>
              </w:rPr>
              <w:t>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p>
      <w:pPr>
        <w:spacing w:before="40" w:after="40"/>
        <w:rPr>
          <w:rFonts w:eastAsia="微软雅黑"/>
          <w:sz w:val="20"/>
          <w:szCs w:val="20"/>
        </w:rPr>
      </w:pPr>
    </w:p>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bookmarkStart w:id="30" w:name="_GoBack"/>
            <w:bookmarkEnd w:id="30"/>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256A3624"/>
    <w:rsid w:val="77616805"/>
    <w:rsid w:val="7CF461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19376</Words>
  <Characters>20319</Characters>
  <Lines>150</Lines>
  <Paragraphs>42</Paragraphs>
  <TotalTime>0</TotalTime>
  <ScaleCrop>false</ScaleCrop>
  <LinksUpToDate>false</LinksUpToDate>
  <CharactersWithSpaces>23367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2023-02-17T06:39:45Z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