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485A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55698E">
        <w:trPr>
          <w:trHeight w:val="557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四川冉冉环保科技有限公司</w:t>
            </w:r>
            <w:bookmarkEnd w:id="0"/>
          </w:p>
        </w:tc>
      </w:tr>
      <w:tr w:rsidR="0055698E">
        <w:trPr>
          <w:trHeight w:val="557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四川省达州市通川区罗浮阳光7栋7号</w:t>
            </w:r>
            <w:bookmarkEnd w:id="1"/>
          </w:p>
        </w:tc>
      </w:tr>
      <w:tr w:rsidR="0055698E">
        <w:trPr>
          <w:trHeight w:val="557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四川省达州市通川区罗浮阳光7栋7号</w:t>
            </w:r>
            <w:bookmarkEnd w:id="2"/>
            <w:bookmarkEnd w:id="3"/>
          </w:p>
        </w:tc>
      </w:tr>
      <w:tr w:rsidR="0055698E">
        <w:trPr>
          <w:trHeight w:val="557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冉艺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18784822338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55698E">
        <w:trPr>
          <w:trHeight w:val="557"/>
        </w:trPr>
        <w:tc>
          <w:tcPr>
            <w:tcW w:w="1142" w:type="dxa"/>
            <w:vAlign w:val="center"/>
          </w:tcPr>
          <w:p w:rsidR="00A62166" w:rsidRDefault="00485A5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313691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313691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</w:tr>
      <w:tr w:rsidR="0055698E">
        <w:trPr>
          <w:trHeight w:val="418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485A5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0030-2023-QEO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485A5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5698E">
        <w:trPr>
          <w:trHeight w:val="455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55698E">
        <w:trPr>
          <w:trHeight w:val="455"/>
        </w:trPr>
        <w:tc>
          <w:tcPr>
            <w:tcW w:w="1142" w:type="dxa"/>
          </w:tcPr>
          <w:p w:rsidR="00A62166" w:rsidRDefault="00485A5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85A5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5698E">
        <w:trPr>
          <w:trHeight w:val="455"/>
        </w:trPr>
        <w:tc>
          <w:tcPr>
            <w:tcW w:w="1142" w:type="dxa"/>
          </w:tcPr>
          <w:p w:rsidR="00A62166" w:rsidRDefault="00485A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85A5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5698E">
        <w:trPr>
          <w:trHeight w:val="455"/>
        </w:trPr>
        <w:tc>
          <w:tcPr>
            <w:tcW w:w="1142" w:type="dxa"/>
          </w:tcPr>
          <w:p w:rsidR="00A62166" w:rsidRDefault="00485A5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485A5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5698E">
        <w:trPr>
          <w:trHeight w:val="990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485A5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5698E" w:rsidTr="00057E57">
        <w:trPr>
          <w:trHeight w:val="2961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485A5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：室内空气治理服务；中央空调维修、清洗、消毒服务</w:t>
            </w:r>
          </w:p>
          <w:p w:rsidR="00A62166" w:rsidRDefault="00485A5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：室内空气治理服务；中央空调维修、清洗、消毒服务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所涉及场所的相关环境管理活动</w:t>
            </w:r>
          </w:p>
          <w:p w:rsidR="00A62166" w:rsidRDefault="00485A56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：室内空气治理服务；中央空调维修、清洗、消毒服务所涉及场所的相关职业健康安全管理活动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485A5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28.07.02;35.16.02;39.04.00</w:t>
            </w:r>
          </w:p>
          <w:p w:rsidR="00A62166" w:rsidRDefault="00485A56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28.07.02;35.16.02;39.04.00</w:t>
            </w:r>
          </w:p>
          <w:p w:rsidR="00A62166" w:rsidRDefault="00485A56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28.07.02;35.16.02;39.04.00</w:t>
            </w:r>
            <w:bookmarkEnd w:id="26"/>
          </w:p>
        </w:tc>
      </w:tr>
      <w:tr w:rsidR="0055698E">
        <w:trPr>
          <w:trHeight w:val="1184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485A5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485A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485A5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485A5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485A5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 w:rsidRDefault="00485A5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55698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5698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313691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485A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057E5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485A56">
              <w:rPr>
                <w:rFonts w:hint="eastAsia"/>
                <w:b/>
                <w:sz w:val="20"/>
              </w:rPr>
              <w:t>普通话</w:t>
            </w:r>
            <w:r w:rsidR="00485A56">
              <w:rPr>
                <w:rFonts w:hint="eastAsia"/>
                <w:sz w:val="20"/>
                <w:lang w:val="de-DE"/>
              </w:rPr>
              <w:t>□</w:t>
            </w:r>
            <w:r w:rsidR="00485A56">
              <w:rPr>
                <w:rFonts w:hint="eastAsia"/>
                <w:b/>
                <w:sz w:val="20"/>
              </w:rPr>
              <w:t>英语</w:t>
            </w:r>
            <w:r w:rsidR="00485A56">
              <w:rPr>
                <w:rFonts w:hint="eastAsia"/>
                <w:sz w:val="20"/>
                <w:lang w:val="de-DE"/>
              </w:rPr>
              <w:t>□</w:t>
            </w:r>
            <w:r w:rsidR="00485A56">
              <w:rPr>
                <w:rFonts w:hint="eastAsia"/>
                <w:b/>
                <w:sz w:val="20"/>
              </w:rPr>
              <w:t>其他</w:t>
            </w:r>
          </w:p>
        </w:tc>
      </w:tr>
      <w:tr w:rsidR="0055698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85A5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485A5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Q:28.07.02,35.16.02,39.04.00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E:28.07.02,35.16.02,39.04.00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O:28.07.02,35.16.02,39.04.00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0"/>
                <w:lang w:val="de-DE"/>
              </w:rPr>
            </w:pP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0"/>
                <w:lang w:val="de-DE"/>
              </w:rPr>
            </w:pP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0"/>
                <w:lang w:val="de-DE"/>
              </w:rPr>
            </w:pP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2021-N1EMS-3093634</w:t>
            </w:r>
          </w:p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2022-N1OHSMS-3093634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0"/>
                <w:lang w:val="de-DE"/>
              </w:rPr>
            </w:pPr>
          </w:p>
        </w:tc>
      </w:tr>
      <w:tr w:rsidR="0055698E">
        <w:trPr>
          <w:trHeight w:val="827"/>
        </w:trPr>
        <w:tc>
          <w:tcPr>
            <w:tcW w:w="1142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</w:tr>
      <w:tr w:rsidR="0055698E">
        <w:trPr>
          <w:trHeight w:val="879"/>
        </w:trPr>
        <w:tc>
          <w:tcPr>
            <w:tcW w:w="1142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313691">
            <w:pPr>
              <w:jc w:val="center"/>
              <w:rPr>
                <w:sz w:val="21"/>
                <w:szCs w:val="21"/>
              </w:rPr>
            </w:pPr>
          </w:p>
        </w:tc>
      </w:tr>
      <w:tr w:rsidR="0055698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485A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485A5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485A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485A5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485A5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485A5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48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5698E">
        <w:trPr>
          <w:trHeight w:val="567"/>
        </w:trPr>
        <w:tc>
          <w:tcPr>
            <w:tcW w:w="1142" w:type="dxa"/>
            <w:vAlign w:val="center"/>
          </w:tcPr>
          <w:p w:rsidR="00A62166" w:rsidRDefault="00313691"/>
        </w:tc>
        <w:tc>
          <w:tcPr>
            <w:tcW w:w="1350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313691"/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</w:tr>
      <w:tr w:rsidR="0055698E">
        <w:trPr>
          <w:trHeight w:val="465"/>
        </w:trPr>
        <w:tc>
          <w:tcPr>
            <w:tcW w:w="1142" w:type="dxa"/>
            <w:vAlign w:val="center"/>
          </w:tcPr>
          <w:p w:rsidR="00A62166" w:rsidRDefault="00313691"/>
        </w:tc>
        <w:tc>
          <w:tcPr>
            <w:tcW w:w="1350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313691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313691"/>
        </w:tc>
        <w:tc>
          <w:tcPr>
            <w:tcW w:w="1299" w:type="dxa"/>
            <w:gridSpan w:val="4"/>
            <w:vAlign w:val="center"/>
          </w:tcPr>
          <w:p w:rsidR="00A62166" w:rsidRDefault="00313691"/>
        </w:tc>
        <w:tc>
          <w:tcPr>
            <w:tcW w:w="1380" w:type="dxa"/>
            <w:vAlign w:val="center"/>
          </w:tcPr>
          <w:p w:rsidR="00A62166" w:rsidRDefault="00313691">
            <w:pPr>
              <w:rPr>
                <w:sz w:val="21"/>
                <w:szCs w:val="21"/>
              </w:rPr>
            </w:pPr>
          </w:p>
        </w:tc>
      </w:tr>
      <w:tr w:rsidR="0055698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485A5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57E57">
        <w:trPr>
          <w:trHeight w:val="586"/>
        </w:trPr>
        <w:tc>
          <w:tcPr>
            <w:tcW w:w="1142" w:type="dxa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57E57" w:rsidRDefault="00057E57" w:rsidP="00057E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057E57" w:rsidRDefault="00057E57" w:rsidP="00057E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</w:p>
        </w:tc>
      </w:tr>
      <w:tr w:rsidR="00057E57">
        <w:trPr>
          <w:trHeight w:val="509"/>
        </w:trPr>
        <w:tc>
          <w:tcPr>
            <w:tcW w:w="1142" w:type="dxa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</w:p>
        </w:tc>
      </w:tr>
      <w:tr w:rsidR="00057E57">
        <w:trPr>
          <w:trHeight w:val="600"/>
        </w:trPr>
        <w:tc>
          <w:tcPr>
            <w:tcW w:w="1142" w:type="dxa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57E57" w:rsidRDefault="00057E57" w:rsidP="00057E5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2023.2.16</w:t>
            </w:r>
          </w:p>
        </w:tc>
        <w:tc>
          <w:tcPr>
            <w:tcW w:w="1502" w:type="dxa"/>
            <w:gridSpan w:val="2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2023.2.16</w:t>
            </w:r>
          </w:p>
        </w:tc>
        <w:tc>
          <w:tcPr>
            <w:tcW w:w="2061" w:type="dxa"/>
            <w:gridSpan w:val="5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057E57" w:rsidRDefault="00057E57" w:rsidP="00057E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2023.2.16</w:t>
            </w:r>
          </w:p>
        </w:tc>
      </w:tr>
    </w:tbl>
    <w:p w:rsidR="00A62166" w:rsidRDefault="00313691"/>
    <w:p w:rsidR="00057E57" w:rsidRDefault="00057E57" w:rsidP="00057E57">
      <w:pPr>
        <w:pStyle w:val="a0"/>
      </w:pPr>
    </w:p>
    <w:p w:rsidR="00057E57" w:rsidRDefault="00057E57" w:rsidP="00057E57">
      <w:pPr>
        <w:pStyle w:val="a0"/>
      </w:pPr>
    </w:p>
    <w:p w:rsidR="00057E57" w:rsidRDefault="00057E57" w:rsidP="00057E57">
      <w:pPr>
        <w:pStyle w:val="a0"/>
      </w:pP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411"/>
        <w:gridCol w:w="1067"/>
        <w:gridCol w:w="69"/>
        <w:gridCol w:w="5765"/>
        <w:gridCol w:w="1065"/>
      </w:tblGrid>
      <w:tr w:rsidR="000907BB" w:rsidTr="00BA21AC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907BB" w:rsidTr="00BA21AC">
        <w:trPr>
          <w:cantSplit/>
          <w:trHeight w:val="396"/>
          <w:jc w:val="center"/>
        </w:trPr>
        <w:tc>
          <w:tcPr>
            <w:tcW w:w="1000" w:type="dxa"/>
            <w:tcBorders>
              <w:left w:val="single" w:sz="8" w:space="0" w:color="auto"/>
            </w:tcBorders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1" w:type="dxa"/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7" w:type="dxa"/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34" w:type="dxa"/>
            <w:gridSpan w:val="2"/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907BB" w:rsidTr="00BA21AC">
        <w:trPr>
          <w:cantSplit/>
          <w:trHeight w:val="396"/>
          <w:jc w:val="center"/>
        </w:trPr>
        <w:tc>
          <w:tcPr>
            <w:tcW w:w="1000" w:type="dxa"/>
            <w:vMerge w:val="restart"/>
            <w:tcBorders>
              <w:left w:val="single" w:sz="8" w:space="0" w:color="auto"/>
            </w:tcBorders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Align w:val="center"/>
          </w:tcPr>
          <w:p w:rsidR="000907BB" w:rsidRDefault="000907BB" w:rsidP="000907BB"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14:00-14:30</w:t>
            </w:r>
          </w:p>
        </w:tc>
        <w:tc>
          <w:tcPr>
            <w:tcW w:w="6901" w:type="dxa"/>
            <w:gridSpan w:val="3"/>
            <w:vAlign w:val="center"/>
          </w:tcPr>
          <w:p w:rsidR="000907BB" w:rsidRDefault="000907BB" w:rsidP="00BA21AC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0907BB" w:rsidRDefault="000907BB" w:rsidP="000907BB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0907BB" w:rsidTr="00BA21AC">
        <w:trPr>
          <w:cantSplit/>
          <w:trHeight w:val="1499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14:30-1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</w:tcPr>
          <w:p w:rsidR="000907BB" w:rsidRDefault="000907BB" w:rsidP="00BA21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34" w:type="dxa"/>
            <w:gridSpan w:val="2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QMS:4.1组织及其环境;4.2相关方需求与期望;4.3确定体系范围;4.4体系及其过程;5.1领导作用与承诺;5.2方针;5.3组织的角色、职责和权限;6.1应对风险和机遇的措施;6.2目标及其实现的策划;6.3变更的策划;7.1.1资源 总则;7.1.6组织知识;7.4沟通;7.5.1文件化信息总则;9.1.1监测、分析和评价总则; 9.3管理评审;10.1改进 总则;10.3持续改进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607241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明利红</w:t>
            </w:r>
          </w:p>
        </w:tc>
      </w:tr>
      <w:tr w:rsidR="000907BB" w:rsidTr="00BA21AC">
        <w:trPr>
          <w:cantSplit/>
          <w:trHeight w:val="636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 w:val="restart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</w:tcPr>
          <w:p w:rsidR="000907BB" w:rsidRDefault="000907BB" w:rsidP="00BA21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34" w:type="dxa"/>
            <w:gridSpan w:val="2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QMS:5.3组织的角色、职责和权限;6.2目标及其实现的策划;7.1.2人员;7.2能力;7.3意识;7.4沟通;7.5文件化信息;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607241" w:rsidP="000907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0907BB" w:rsidTr="00BA21AC">
        <w:trPr>
          <w:cantSplit/>
          <w:trHeight w:val="2546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  <w:vMerge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67" w:type="dxa"/>
          </w:tcPr>
          <w:p w:rsidR="000907BB" w:rsidRDefault="000907BB" w:rsidP="00BA21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834" w:type="dxa"/>
            <w:gridSpan w:val="2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bCs/>
                <w:spacing w:val="10"/>
                <w:sz w:val="18"/>
                <w:szCs w:val="18"/>
              </w:rPr>
            </w:pP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QMS:5.3组织的角色、职责和权限;6.2质量目标及其实现的策划;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8.2产品和服务的要求; 9.1.2顾客满意;</w:t>
            </w:r>
          </w:p>
          <w:p w:rsidR="000907BB" w:rsidRDefault="000907BB" w:rsidP="00BA21AC">
            <w:pPr>
              <w:pStyle w:val="a0"/>
            </w:pP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EMS:5.3组织的角色、职责和权限、6.2目标及其达成的策划; </w:t>
            </w: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907BB" w:rsidRPr="00C76B77" w:rsidRDefault="000907BB" w:rsidP="00BA21AC">
            <w:pPr>
              <w:pStyle w:val="a0"/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 6.2目标及其实现的策划;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607241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0907BB" w:rsidTr="00BA21AC">
        <w:trPr>
          <w:cantSplit/>
          <w:trHeight w:val="1732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  <w:vAlign w:val="center"/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14: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A0290E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0907BB" w:rsidRDefault="00A0290E" w:rsidP="00A0290E">
            <w:pPr>
              <w:pStyle w:val="a0"/>
              <w:rPr>
                <w:rFonts w:ascii="宋体" w:hAnsi="宋体"/>
                <w:b/>
                <w:bCs w:val="0"/>
                <w:sz w:val="21"/>
                <w:szCs w:val="21"/>
              </w:rPr>
            </w:pPr>
            <w:r w:rsidRPr="00A0290E">
              <w:rPr>
                <w:rFonts w:hint="eastAsia"/>
                <w:sz w:val="18"/>
                <w:szCs w:val="18"/>
              </w:rPr>
              <w:t>（</w:t>
            </w:r>
            <w:r w:rsidRPr="00A0290E">
              <w:rPr>
                <w:rFonts w:hint="eastAsia"/>
                <w:sz w:val="18"/>
                <w:szCs w:val="18"/>
              </w:rPr>
              <w:t>14</w:t>
            </w:r>
            <w:r w:rsidRPr="00A0290E">
              <w:rPr>
                <w:rFonts w:hint="eastAsia"/>
                <w:sz w:val="18"/>
                <w:szCs w:val="18"/>
              </w:rPr>
              <w:t>：</w:t>
            </w:r>
            <w:r w:rsidRPr="00A0290E">
              <w:rPr>
                <w:rFonts w:hint="eastAsia"/>
                <w:sz w:val="18"/>
                <w:szCs w:val="18"/>
              </w:rPr>
              <w:t>30-14</w:t>
            </w:r>
            <w:r w:rsidRPr="00A0290E">
              <w:rPr>
                <w:rFonts w:hint="eastAsia"/>
                <w:sz w:val="18"/>
                <w:szCs w:val="18"/>
              </w:rPr>
              <w:t>：</w:t>
            </w:r>
            <w:r w:rsidRPr="00A0290E">
              <w:rPr>
                <w:rFonts w:hint="eastAsia"/>
                <w:sz w:val="18"/>
                <w:szCs w:val="18"/>
              </w:rPr>
              <w:t>50</w:t>
            </w:r>
            <w:r w:rsidRPr="00A0290E">
              <w:rPr>
                <w:rFonts w:hint="eastAsia"/>
                <w:sz w:val="18"/>
                <w:szCs w:val="18"/>
              </w:rPr>
              <w:t>到</w:t>
            </w:r>
            <w:r w:rsidRPr="00A0290E">
              <w:rPr>
                <w:rFonts w:ascii="宋体" w:hAnsi="宋体" w:cs="宋体" w:hint="eastAsia"/>
                <w:sz w:val="18"/>
                <w:szCs w:val="18"/>
              </w:rPr>
              <w:t>达州市中心血站；16：</w:t>
            </w:r>
            <w:r>
              <w:rPr>
                <w:rFonts w:ascii="宋体" w:hAnsi="宋体" w:cs="宋体" w:hint="eastAsia"/>
                <w:sz w:val="18"/>
                <w:szCs w:val="18"/>
              </w:rPr>
              <w:t>4</w:t>
            </w:r>
            <w:r w:rsidRPr="00A0290E">
              <w:rPr>
                <w:rFonts w:ascii="宋体" w:hAnsi="宋体" w:cs="宋体" w:hint="eastAsia"/>
                <w:sz w:val="18"/>
                <w:szCs w:val="18"/>
              </w:rPr>
              <w:t>0-1</w:t>
            </w:r>
            <w:r>
              <w:rPr>
                <w:rFonts w:ascii="宋体" w:hAnsi="宋体" w:cs="宋体" w:hint="eastAsia"/>
                <w:sz w:val="18"/>
                <w:szCs w:val="18"/>
              </w:rPr>
              <w:t>7</w:t>
            </w:r>
            <w:r w:rsidRPr="00A0290E">
              <w:rPr>
                <w:rFonts w:ascii="宋体" w:hAnsi="宋体" w:cs="宋体" w:hint="eastAsia"/>
                <w:sz w:val="18"/>
                <w:szCs w:val="18"/>
              </w:rPr>
              <w:t>：</w:t>
            </w:r>
            <w:r>
              <w:rPr>
                <w:rFonts w:ascii="宋体" w:hAnsi="宋体" w:cs="宋体" w:hint="eastAsia"/>
                <w:sz w:val="18"/>
                <w:szCs w:val="18"/>
              </w:rPr>
              <w:t>0</w:t>
            </w:r>
            <w:r w:rsidRPr="00A0290E">
              <w:rPr>
                <w:rFonts w:ascii="宋体" w:hAnsi="宋体" w:cs="宋体" w:hint="eastAsia"/>
                <w:sz w:val="18"/>
                <w:szCs w:val="18"/>
              </w:rPr>
              <w:t>0到</w:t>
            </w:r>
            <w:r w:rsidRPr="00A0290E">
              <w:rPr>
                <w:rFonts w:hint="eastAsia"/>
                <w:color w:val="000000"/>
                <w:sz w:val="18"/>
                <w:szCs w:val="18"/>
              </w:rPr>
              <w:t>农业科学研究院</w:t>
            </w:r>
            <w:r>
              <w:rPr>
                <w:rFonts w:hint="eastAsia"/>
                <w:color w:val="000000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  <w:r>
              <w:rPr>
                <w:rFonts w:hint="eastAsia"/>
                <w:color w:val="000000"/>
                <w:sz w:val="18"/>
                <w:szCs w:val="18"/>
              </w:rPr>
              <w:t>离开</w:t>
            </w:r>
            <w:r w:rsidRPr="00A0290E">
              <w:rPr>
                <w:rFonts w:hint="eastAsia"/>
                <w:color w:val="000000"/>
                <w:sz w:val="18"/>
                <w:szCs w:val="18"/>
              </w:rPr>
              <w:t>农业科学研究院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67" w:type="dxa"/>
          </w:tcPr>
          <w:p w:rsidR="000907BB" w:rsidRDefault="000907BB" w:rsidP="00BA21AC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工程部</w:t>
            </w:r>
            <w:r w:rsidR="00A0290E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（含临时场所）</w:t>
            </w:r>
          </w:p>
        </w:tc>
        <w:tc>
          <w:tcPr>
            <w:tcW w:w="5834" w:type="dxa"/>
            <w:gridSpan w:val="2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 6.1.2环境因素; 8.1运行策划和控制；8.2应急准备和响应;</w:t>
            </w: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 6.1.2危险源辨识和职业安全风险评价;8.1运行策划和控制；8.2应急准备和响应;</w:t>
            </w:r>
          </w:p>
          <w:p w:rsidR="00A0290E" w:rsidRPr="00A0290E" w:rsidRDefault="00A0290E" w:rsidP="00A0290E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sz w:val="18"/>
                <w:szCs w:val="18"/>
              </w:rPr>
              <w:t>QMS: 7.1.3基础设施;7.1.4过程运行环境;7.1.5</w:t>
            </w:r>
            <w:r>
              <w:rPr>
                <w:rFonts w:ascii="宋体" w:hAnsi="宋体" w:cs="宋体" w:hint="eastAsia"/>
                <w:sz w:val="18"/>
                <w:szCs w:val="18"/>
              </w:rPr>
              <w:t>监视和测量资源</w:t>
            </w:r>
            <w:r>
              <w:rPr>
                <w:rFonts w:ascii="宋体" w:hAnsi="宋体" w:cs="新宋体" w:hint="eastAsia"/>
                <w:sz w:val="18"/>
                <w:szCs w:val="18"/>
              </w:rPr>
              <w:t>;8.1运行策划和控制;8.3设计开发控制;8.5.1生产和服务提供的控制;8.5.2标识和可追溯性;8.5.3顾客或外部供方的财产;8.5.4防护;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8.5.5交付后的活动;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8.5.6更改控制;8.6产品和服务放行;8.7不合格输出的控制;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907BB" w:rsidTr="00BA21AC">
        <w:trPr>
          <w:cantSplit/>
          <w:trHeight w:val="444"/>
          <w:jc w:val="center"/>
        </w:trPr>
        <w:tc>
          <w:tcPr>
            <w:tcW w:w="1000" w:type="dxa"/>
            <w:vMerge w:val="restart"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0907BB" w:rsidRDefault="000907BB" w:rsidP="00BA21A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(午休12：00-12：30)</w:t>
            </w: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1136" w:type="dxa"/>
            <w:gridSpan w:val="2"/>
          </w:tcPr>
          <w:p w:rsidR="000907BB" w:rsidRPr="00607241" w:rsidRDefault="000907BB" w:rsidP="00BA21AC">
            <w:pPr>
              <w:spacing w:line="30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 w:rsidRPr="00607241"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行政部/财务部</w:t>
            </w:r>
          </w:p>
        </w:tc>
        <w:tc>
          <w:tcPr>
            <w:tcW w:w="5765" w:type="dxa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:5.3组织的角色、职责和权限;6.1.2环境因素;6.1.3合规义务;6.2目标及其达成的策划;7.1资源;7.2能力;7.3意识;7.4沟通;7.5文件化信息;8.1运行策划和控制;8.2应急准备和响应;9.1监视、测量、分析与评估;9.1.2符合性评估;19.2内部审核;0.2不符合和纠正措施/EMS运行控制相关财务支出证据。 </w:t>
            </w:r>
          </w:p>
          <w:p w:rsidR="000907BB" w:rsidRDefault="000907BB" w:rsidP="00BA21A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5.3组织的角色、职责和权限;6.1.2危险源辨识和职业安全风险评价;6.1.3法律法规要求和其他要求;6.2目标及其实现的策划;7.1资源;7.2能力;7.3意识;7.4沟通;7.5文件化信息;8.1运行策划和控制;8.2应急准备和响应;9.1监视、测量、分析和评价;9.1.2法律法规要求和其他要求的合规性评价; 9.2内部审核;10.2不符合和纠正措施/OHSMS运行控制财务支出证据。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607241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余家龙</w:t>
            </w:r>
          </w:p>
        </w:tc>
      </w:tr>
      <w:tr w:rsidR="000907BB" w:rsidTr="00BA21AC">
        <w:trPr>
          <w:cantSplit/>
          <w:trHeight w:val="444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1136" w:type="dxa"/>
            <w:gridSpan w:val="2"/>
          </w:tcPr>
          <w:p w:rsidR="000907BB" w:rsidRDefault="000907BB" w:rsidP="00BA21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765" w:type="dxa"/>
          </w:tcPr>
          <w:p w:rsidR="000907BB" w:rsidRDefault="000907BB" w:rsidP="00607241">
            <w:pPr>
              <w:snapToGrid w:val="0"/>
              <w:spacing w:line="240" w:lineRule="exact"/>
            </w:pP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>QMS:</w:t>
            </w:r>
            <w:r w:rsidR="00607241"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bCs/>
                <w:spacing w:val="10"/>
                <w:sz w:val="18"/>
                <w:szCs w:val="18"/>
              </w:rPr>
              <w:t xml:space="preserve">8.4外部提供供方的控制; 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9.2内部审核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0907BB" w:rsidP="000907B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0907BB" w:rsidTr="00BA21AC">
        <w:trPr>
          <w:cantSplit/>
          <w:trHeight w:val="444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1136" w:type="dxa"/>
            <w:gridSpan w:val="2"/>
          </w:tcPr>
          <w:p w:rsidR="000907BB" w:rsidRDefault="000907BB" w:rsidP="00BA21A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65" w:type="dxa"/>
            <w:vAlign w:val="center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:4.1组织及其环境;4.2相关方需求与期望;4.3确定体系范围;4.4体系;5.1领导作用与承诺;5.2方针;5.3组织的角色、职责和权限;6.1.1策划总则;6.1.4措施的策划;6.2目标及其实现的策划;7.1资源;7.4沟通;7.5.1文件化信息总则;9.1.1监测、分析和评估总则; 9.3管理评审;10.1改进 总则;10.3持续改进;</w:t>
            </w:r>
          </w:p>
          <w:p w:rsidR="000907BB" w:rsidRDefault="000907BB" w:rsidP="00BA21AC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:4.1组织及其环境;4.2相关方需求与期望;4.3确定体系范围;4.4体系;5.1领导作用与承诺;5.2方针;5.3组织的角色、职责和权限;5.4工作人员的协商和参与;6.1应对风险和机遇的措施6.1.4措施的策划;6.2目标及其实现的策划;7.1资源;7.4信息和沟通;7.5.1文件化信息总则;9.1监视、测量、分析和评价; 9.3管理评审;10.1事件、不符合和纠正措施;10.3持续改进。</w:t>
            </w: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范围的确认，资质的确认，管理体系变化情况，法律法规执行情况，投诉或事故/政府主管部门监督抽查情况，一阶段问题验证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607241" w:rsidP="00BA21AC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明利红</w:t>
            </w:r>
          </w:p>
        </w:tc>
      </w:tr>
      <w:tr w:rsidR="000907BB" w:rsidTr="00BA21AC">
        <w:trPr>
          <w:cantSplit/>
          <w:trHeight w:val="444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8:30-16:30</w:t>
            </w:r>
          </w:p>
        </w:tc>
        <w:tc>
          <w:tcPr>
            <w:tcW w:w="1136" w:type="dxa"/>
            <w:gridSpan w:val="2"/>
            <w:vAlign w:val="center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5765" w:type="dxa"/>
            <w:vAlign w:val="center"/>
          </w:tcPr>
          <w:p w:rsidR="000907BB" w:rsidRDefault="00A0290E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继续前一天审核</w:t>
            </w:r>
          </w:p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0907BB" w:rsidP="000907BB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0907BB" w:rsidTr="00BA21AC">
        <w:trPr>
          <w:cantSplit/>
          <w:trHeight w:val="444"/>
          <w:jc w:val="center"/>
        </w:trPr>
        <w:tc>
          <w:tcPr>
            <w:tcW w:w="1000" w:type="dxa"/>
            <w:vMerge/>
            <w:tcBorders>
              <w:left w:val="single" w:sz="8" w:space="0" w:color="auto"/>
            </w:tcBorders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1" w:type="dxa"/>
          </w:tcPr>
          <w:p w:rsidR="000907BB" w:rsidRDefault="000907BB" w:rsidP="00BA21A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01" w:type="dxa"/>
            <w:gridSpan w:val="3"/>
            <w:vAlign w:val="center"/>
          </w:tcPr>
          <w:p w:rsidR="000907BB" w:rsidRDefault="000907BB" w:rsidP="00BA21AC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b/>
                <w:bCs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</w:tcPr>
          <w:p w:rsidR="000907BB" w:rsidRDefault="000907BB" w:rsidP="000907BB">
            <w:pPr>
              <w:snapToGrid w:val="0"/>
              <w:spacing w:line="320" w:lineRule="exact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A62166" w:rsidRDefault="00485A5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485A56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313691"/>
    <w:p w:rsidR="00A62166" w:rsidRDefault="00313691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91" w:rsidRDefault="00313691" w:rsidP="0055698E">
      <w:r>
        <w:separator/>
      </w:r>
    </w:p>
  </w:endnote>
  <w:endnote w:type="continuationSeparator" w:id="0">
    <w:p w:rsidR="00313691" w:rsidRDefault="00313691" w:rsidP="0055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91" w:rsidRDefault="00313691" w:rsidP="0055698E">
      <w:r>
        <w:separator/>
      </w:r>
    </w:p>
  </w:footnote>
  <w:footnote w:type="continuationSeparator" w:id="0">
    <w:p w:rsidR="00313691" w:rsidRDefault="00313691" w:rsidP="00556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485A56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5EEB" w:rsidRPr="00995E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485A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485A56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98E"/>
    <w:rsid w:val="00057E57"/>
    <w:rsid w:val="000907BB"/>
    <w:rsid w:val="00313691"/>
    <w:rsid w:val="00485A56"/>
    <w:rsid w:val="0055698E"/>
    <w:rsid w:val="00607241"/>
    <w:rsid w:val="00995EEB"/>
    <w:rsid w:val="00A02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620</Words>
  <Characters>3539</Characters>
  <Application>Microsoft Office Word</Application>
  <DocSecurity>0</DocSecurity>
  <Lines>29</Lines>
  <Paragraphs>8</Paragraphs>
  <ScaleCrop>false</ScaleCrop>
  <Company>微软中国</Company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64</cp:revision>
  <dcterms:created xsi:type="dcterms:W3CDTF">2015-06-17T14:31:00Z</dcterms:created>
  <dcterms:modified xsi:type="dcterms:W3CDTF">2023-02-17T06:55:00Z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