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4130无缝钢管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抗拉强度检</w:t>
      </w: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测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过程</w:t>
      </w:r>
    </w:p>
    <w:p>
      <w:pPr>
        <w:pStyle w:val="2"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定度评定报告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1 、概述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1测量方法：依据GB/T228.1-20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《金属材料 拉伸试验 第1部分：室温试验方法》 ；　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　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1.2环境条件：温度（10-35）℃；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1.3检测设备：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GNT300电子式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万能试验机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，0.5级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 xml:space="preserve"> 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最大允许误差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±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0.5%。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 xml:space="preserve">                                                                                                                                                            1.4被测对象：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4130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无缝钢管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拉伸试样</w: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1.5测量过程：机械加工试件加工尺寸参照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GB/T228.1-20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21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要求。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采用电子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万能试验机进行拉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伸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试验，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直接读取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抗拉强度</w:t>
      </w:r>
      <w:r>
        <w:rPr>
          <w:rFonts w:hint="default" w:ascii="Times New Roman" w:hAnsi="Times New Roman" w:eastAsia="宋体" w:cs="Times New Roman"/>
          <w:color w:val="auto"/>
          <w:position w:val="-10"/>
          <w:sz w:val="21"/>
          <w:szCs w:val="21"/>
        </w:rPr>
        <w:object>
          <v:shape id="_x0000_i1025" o:spt="75" type="#_x0000_t75" style="height:14.4pt;width:19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2、评定三个试样平均结果的抗拉强度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检测过程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不确定度。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使用10个试样，得到测量列，测量得到的结果见表1。</w:t>
      </w:r>
    </w:p>
    <w:p>
      <w:pPr>
        <w:snapToGrid w:val="0"/>
        <w:spacing w:line="360" w:lineRule="auto"/>
        <w:ind w:left="2730" w:leftChars="200" w:hanging="2310" w:hangingChars="11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试验标准偏差按贝塞尔公式计算：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object>
          <v:shape id="_x0000_i1026" o:spt="75" type="#_x0000_t75" style="height:30.8pt;width:118.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object>
          <v:shape id="_x0000_i1027" o:spt="75" type="#_x0000_t75" style="height:29.25pt;width:6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snapToGrid w:val="0"/>
        <w:spacing w:line="360" w:lineRule="auto"/>
        <w:ind w:left="2730" w:leftChars="13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表1  重复性测量结果</w:t>
      </w:r>
    </w:p>
    <w:tbl>
      <w:tblPr>
        <w:tblStyle w:val="4"/>
        <w:tblpPr w:leftFromText="180" w:rightFromText="180" w:vertAnchor="text" w:horzAnchor="page" w:tblpX="1800" w:tblpY="281"/>
        <w:tblOverlap w:val="never"/>
        <w:tblW w:w="7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950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序号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试样直径d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 xml:space="preserve">   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 xml:space="preserve">抗拉强度Rm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2.48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12.48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12.48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抗拉强度平均值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5798" w:type="dxa"/>
            <w:gridSpan w:val="2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标准偏差s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vertAlign w:val="baseline"/>
                <w:lang w:val="en-US" w:eastAsia="zh-CN"/>
              </w:rPr>
              <w:t>MPa</w:t>
            </w:r>
          </w:p>
        </w:tc>
        <w:tc>
          <w:tcPr>
            <w:tcW w:w="5798" w:type="dxa"/>
            <w:gridSpan w:val="2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相对标准偏差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798" w:type="dxa"/>
            <w:gridSpan w:val="2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0.656%</w:t>
            </w: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  <w:t>3、抗拉强度</w:t>
      </w:r>
      <w:r>
        <w:rPr>
          <w:rFonts w:hint="eastAsia" w:ascii="Times New Roman" w:hAnsi="Times New Roman" w:cs="Times New Roman"/>
          <w:b/>
          <w:bCs/>
          <w:color w:val="000000"/>
          <w:kern w:val="0"/>
          <w:position w:val="-24"/>
          <w:sz w:val="21"/>
          <w:szCs w:val="21"/>
          <w:lang w:val="en-US" w:eastAsia="zh-CN"/>
        </w:rPr>
        <w:t>检验过程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  <w:t>不确定度的评定：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数学模型：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3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6"/>
          <w:sz w:val="21"/>
          <w:szCs w:val="21"/>
        </w:rPr>
        <w:object>
          <v:shape id="_x0000_i1028" o:spt="75" type="#_x0000_t75" style="height:33.75pt;width:51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position w:val="-30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3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object>
          <v:shape id="_x0000_i1029" o:spt="75" type="#_x0000_t75" style="height:22.3pt;width:261.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</w:rPr>
      </w:pPr>
      <w:r>
        <w:rPr>
          <w:rFonts w:hint="default" w:ascii="Times New Roman" w:hAnsi="Times New Roman" w:eastAsia="宋体" w:cs="Times New Roman"/>
          <w:color w:val="000000"/>
          <w:position w:val="-10"/>
          <w:sz w:val="21"/>
          <w:szCs w:val="21"/>
        </w:rPr>
        <w:object>
          <v:shape id="_x0000_i1030" o:spt="75" type="#_x0000_t75" style="height:14.4pt;width:19.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—抗拉强度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object>
          <v:shape id="_x0000_i1031" o:spt="75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—原始横截面积mm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</w:rPr>
        <w:t xml:space="preserve">2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position w:val="-10"/>
          <w:sz w:val="21"/>
          <w:szCs w:val="21"/>
        </w:rPr>
        <w:object>
          <v:shape id="_x0000_i1032" o:spt="75" type="#_x0000_t75" style="height:14.6pt;width:15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—最大试验力 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>Rep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 xml:space="preserve">重复性 </w:t>
      </w:r>
      <w:r>
        <w:rPr>
          <w:rFonts w:hint="eastAsia" w:ascii="Times New Roman" w:hAnsi="Times New Roman" w:cs="Times New Roman"/>
          <w:color w:val="000000"/>
          <w:kern w:val="0"/>
          <w:position w:val="-12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position w:val="-12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>mv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 xml:space="preserve">拉伸速率对抗拉强度的影响 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 xml:space="preserve"> 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3.1 A类相对标准不确</w:t>
      </w: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lang w:val="en-US" w:eastAsia="zh-CN"/>
        </w:rPr>
        <w:t>度分量</w:t>
      </w:r>
      <w:r>
        <w:rPr>
          <w:rFonts w:hint="eastAsia" w:ascii="Times New Roman" w:hAnsi="Times New Roman" w:cs="Times New Roman"/>
          <w:i/>
          <w:iCs/>
          <w:color w:val="000000"/>
          <w:kern w:val="0"/>
          <w:position w:val="-24"/>
          <w:sz w:val="21"/>
          <w:szCs w:val="21"/>
          <w:lang w:val="en-US" w:eastAsia="zh-CN"/>
        </w:rPr>
        <w:t>u</w:t>
      </w: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vertAlign w:val="subscript"/>
          <w:lang w:val="en-US" w:eastAsia="zh-CN"/>
        </w:rPr>
        <w:t>rel</w:t>
      </w: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的评定：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因评定三个试样测量平均值的不确定度，故应：</w:t>
      </w:r>
    </w:p>
    <w:p>
      <w:pPr>
        <w:snapToGrid w:val="0"/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ind w:firstLine="420" w:firstLineChars="200"/>
        <w:jc w:val="left"/>
        <w:rPr>
          <w:rFonts w:hint="default" w:ascii="Times New Roman" w:hAnsi="Times New Roman" w:eastAsia="宋体" w:cs="Times New Roman"/>
          <w:i/>
          <w:iCs/>
          <w:color w:val="00000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position w:val="-26"/>
          <w:sz w:val="21"/>
          <w:szCs w:val="21"/>
          <w:lang w:val="en-US" w:eastAsia="zh-CN"/>
        </w:rPr>
        <w:object>
          <v:shape id="_x0000_i1033" o:spt="75" type="#_x0000_t75" style="height:30pt;width:148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</w:p>
    <w:p>
      <w:pPr>
        <w:tabs>
          <w:tab w:val="left" w:pos="6613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position w:val="-2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position w:val="-12"/>
          <w:sz w:val="21"/>
          <w:szCs w:val="21"/>
        </w:rPr>
        <w:pict>
          <v:shape id="Object 4" o:spid="_x0000_s1028" o:spt="75" type="#_x0000_t75" style="position:absolute;left:0pt;margin-left:202.25pt;margin-top:1.2pt;height:14.6pt;width:38.9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square"/>
          </v:shape>
          <o:OLEObject Type="Embed" ProgID="" ShapeID="Object 4" DrawAspect="Content" ObjectID="_1468075734" r:id="rId22">
            <o:LockedField>false</o:LockedField>
          </o:OLEObject>
        </w:pict>
      </w:r>
      <w:r>
        <w:rPr>
          <w:rFonts w:hint="default" w:ascii="Times New Roman" w:hAnsi="Times New Roman" w:eastAsia="宋体" w:cs="Times New Roman"/>
          <w:color w:val="000000"/>
          <w:position w:val="-24"/>
          <w:sz w:val="21"/>
          <w:szCs w:val="21"/>
        </w:rPr>
        <w:t>3.2最大力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position w:val="-24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color w:val="000000"/>
          <w:position w:val="-24"/>
          <w:sz w:val="21"/>
          <w:szCs w:val="21"/>
        </w:rPr>
        <w:t>m的B类相对标准不确定度分项的评定</w:t>
      </w:r>
      <w:r>
        <w:rPr>
          <w:rFonts w:hint="eastAsia" w:cs="Times New Roman"/>
          <w:color w:val="000000"/>
          <w:position w:val="-24"/>
          <w:sz w:val="21"/>
          <w:szCs w:val="21"/>
          <w:lang w:eastAsia="zh-CN"/>
        </w:rPr>
        <w:t>。</w:t>
      </w:r>
    </w:p>
    <w:p>
      <w:pPr>
        <w:tabs>
          <w:tab w:val="left" w:pos="6613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position w:val="-24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查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GNT300电子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式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万能试验机的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证书得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：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设备</w:t>
      </w:r>
      <w:r>
        <w:rPr>
          <w:rFonts w:hint="eastAsia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为0.5级，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最大允许误差为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lang w:val="en-US" w:eastAsia="zh-CN"/>
        </w:rPr>
        <w:t>±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lang w:val="en-US" w:eastAsia="zh-CN"/>
        </w:rPr>
        <w:t>0.5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%，则按照均匀分布，半宽a=</w:t>
      </w:r>
      <w:r>
        <w:rPr>
          <w:rFonts w:hint="eastAsia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0.5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%，包含因子k=</w:t>
      </w:r>
      <m:oMath>
        <m:r>
          <m:rPr>
            <m:sty m:val="p"/>
          </m:rPr>
          <w:rPr>
            <w:rFonts w:ascii="Cambria Math" w:hAnsi="Cambria Math" w:cs="Times New Roman"/>
            <w:color w:val="auto"/>
            <w:kern w:val="0"/>
            <w:sz w:val="21"/>
            <w:szCs w:val="21"/>
            <w:lang w:val="en-US"/>
          </w:rPr>
          <m:t>√</m:t>
        </m:r>
        <m:r>
          <m:rPr>
            <m:sty m:val="p"/>
          </m:rPr>
          <w:rPr>
            <w:rFonts w:hint="default" w:ascii="Cambria Math" w:hAnsi="Cambria Math" w:cs="Times New Roman"/>
            <w:color w:val="auto"/>
            <w:kern w:val="0"/>
            <w:sz w:val="21"/>
            <w:szCs w:val="21"/>
            <w:lang w:val="en-US" w:eastAsia="zh-CN"/>
          </w:rPr>
          <m:t>3</m:t>
        </m:r>
      </m:oMath>
      <w:r>
        <w:rPr>
          <w:rFonts w:hint="eastAsia" w:hAnsi="Cambria Math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，则</w:t>
      </w:r>
    </w:p>
    <w:p>
      <w:pPr>
        <w:tabs>
          <w:tab w:val="left" w:pos="3448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</w:rPr>
        <w:object>
          <v:shape id="_x0000_i1034" o:spt="75" type="#_x0000_t75" style="height:30pt;width:12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5" r:id="rId24">
            <o:LockedField>false</o:LockedField>
          </o:OLEObject>
        </w:object>
      </w:r>
    </w:p>
    <w:p>
      <w:pPr>
        <w:tabs>
          <w:tab w:val="left" w:pos="3448"/>
          <w:tab w:val="left" w:pos="5773"/>
        </w:tabs>
        <w:snapToGri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3.3原始横截面积S0的B类相对标准不确定度分项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vertAlign w:val="subscript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的评定。</w:t>
      </w:r>
    </w:p>
    <w:p>
      <w:pPr>
        <w:tabs>
          <w:tab w:val="left" w:pos="3448"/>
          <w:tab w:val="left" w:pos="5773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测定横截面积时，测量每个尺寸应准确到±0.5%，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则按均匀分布，半宽a=0.5%,取包含因子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1"/>
          <w:szCs w:val="21"/>
          <w:lang w:val="en-US" w:eastAsia="zh-CN"/>
        </w:rPr>
        <w:t>k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cs="Times New Roman"/>
          <w:color w:val="000000"/>
          <w:kern w:val="0"/>
          <w:position w:val="-8"/>
          <w:sz w:val="21"/>
          <w:szCs w:val="21"/>
          <w:lang w:val="en-US" w:eastAsia="zh-CN"/>
        </w:rPr>
        <w:object>
          <v:shape id="_x0000_i1035" o:spt="75" type="#_x0000_t75" style="height:17pt;width:16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5" DrawAspect="Content" ObjectID="_1468075736" r:id="rId26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，则面积的计算公式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S0=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object>
          <v:shape id="_x0000_i1036" o:spt="75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7" r:id="rId28">
            <o:LockedField>false</o:LockedField>
          </o:OLEObject>
        </w:object>
      </w:r>
    </w:p>
    <w:p>
      <w:pPr>
        <w:tabs>
          <w:tab w:val="left" w:pos="3448"/>
          <w:tab w:val="left" w:pos="5773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lang w:val="en-US" w:eastAsia="zh-CN"/>
        </w:rPr>
        <w:t>测量直径d</w:t>
      </w:r>
      <w:r>
        <w:rPr>
          <w:rFonts w:hint="eastAsia" w:cs="Times New Roman"/>
          <w:color w:val="000000"/>
          <w:kern w:val="0"/>
          <w:position w:val="-24"/>
          <w:sz w:val="21"/>
          <w:szCs w:val="21"/>
          <w:lang w:val="en-US" w:eastAsia="zh-CN"/>
        </w:rPr>
        <w:t>引入的相对标准不确定度为：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</w:rPr>
        <w:object>
          <v:shape id="_x0000_i1037" o:spt="75" type="#_x0000_t75" style="height:31.5pt;width:117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8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  <w:t xml:space="preserve">       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000000"/>
          <w:position w:val="-28"/>
          <w:sz w:val="21"/>
          <w:szCs w:val="21"/>
          <w:lang w:val="en-US" w:eastAsia="zh-CN"/>
        </w:rPr>
        <w:t>原始横截面积S</w:t>
      </w:r>
      <w:r>
        <w:rPr>
          <w:rFonts w:hint="eastAsia" w:ascii="Times New Roman" w:hAnsi="Times New Roman" w:cs="Times New Roman"/>
          <w:i w:val="0"/>
          <w:iCs w:val="0"/>
          <w:color w:val="000000"/>
          <w:position w:val="-28"/>
          <w:sz w:val="21"/>
          <w:szCs w:val="21"/>
          <w:vertAlign w:val="subscript"/>
          <w:lang w:val="en-US" w:eastAsia="zh-CN"/>
        </w:rPr>
        <w:t>0</w:t>
      </w:r>
      <w:r>
        <w:rPr>
          <w:rFonts w:hint="eastAsia" w:ascii="Times New Roman" w:hAnsi="Times New Roman" w:cs="Times New Roman"/>
          <w:i w:val="0"/>
          <w:iCs w:val="0"/>
          <w:color w:val="000000"/>
          <w:position w:val="-28"/>
          <w:sz w:val="21"/>
          <w:szCs w:val="21"/>
          <w:vertAlign w:val="baseline"/>
          <w:lang w:val="en-US" w:eastAsia="zh-CN"/>
        </w:rPr>
        <w:t>引入的</w:t>
      </w:r>
      <w:r>
        <w:rPr>
          <w:rFonts w:hint="eastAsia" w:cs="Times New Roman"/>
          <w:color w:val="000000"/>
          <w:kern w:val="0"/>
          <w:position w:val="-24"/>
          <w:sz w:val="21"/>
          <w:szCs w:val="21"/>
          <w:lang w:val="en-US" w:eastAsia="zh-CN"/>
        </w:rPr>
        <w:t>相对标准不确定度为：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/>
          <w:position w:val="-10"/>
          <w:sz w:val="21"/>
          <w:szCs w:val="21"/>
        </w:rPr>
        <w:object>
          <v:shape id="_x0000_i1038" o:spt="75" type="#_x0000_t75" style="height:15pt;width:186.3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9" r:id="rId32">
            <o:LockedField>false</o:LockedField>
          </o:OLEObject>
        </w:obje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position w:val="-28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position w:val="-12"/>
          <w:sz w:val="21"/>
          <w:szCs w:val="21"/>
        </w:rPr>
        <w:pict>
          <v:shape id="Object 14" o:spid="_x0000_s1038" o:spt="75" type="#_x0000_t75" style="position:absolute;left:0pt;margin-left:224.1pt;margin-top:4pt;height:12.85pt;width:40.25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square"/>
          </v:shape>
          <o:OLEObject Type="Embed" ProgID="" ShapeID="Object 14" DrawAspect="Content" ObjectID="_1468075740" r:id="rId34">
            <o:LockedField>false</o:LockedField>
          </o:OLEObject>
        </w:pict>
      </w:r>
      <w:r>
        <w:rPr>
          <w:rFonts w:hint="default" w:ascii="Times New Roman" w:hAnsi="Times New Roman" w:eastAsia="宋体" w:cs="Times New Roman"/>
          <w:color w:val="auto"/>
          <w:position w:val="-28"/>
          <w:sz w:val="21"/>
          <w:szCs w:val="21"/>
        </w:rPr>
        <w:t>3.4拉伸速率影响带来的相对标准不确定度分项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实验得出，在拉伸速率变化范围内，抗拉强度最大相差20MPa,拉伸速率对抗拉强度的影响为±10MPa,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均匀分布考虑：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position w:val="-26"/>
          <w:sz w:val="21"/>
          <w:szCs w:val="21"/>
        </w:rPr>
        <w:object>
          <v:shape id="_x0000_i1039" o:spt="75" type="#_x0000_t75" style="height:27.3pt;width:117.4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39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FF0000"/>
          <w:kern w:val="0"/>
          <w:position w:val="-28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FF0000"/>
          <w:kern w:val="0"/>
          <w:position w:val="-28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color w:val="FF0000"/>
          <w:kern w:val="0"/>
          <w:position w:val="-22"/>
          <w:sz w:val="21"/>
          <w:szCs w:val="21"/>
        </w:rPr>
        <w:object>
          <v:shape id="_x0000_i1040" o:spt="75" type="#_x0000_t75" style="height:26.45pt;width:138.8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0" DrawAspect="Content" ObjectID="_1468075742" r:id="rId38">
            <o:LockedField>false</o:LockedField>
          </o:OLEObject>
        </w:obje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 xml:space="preserve">3.5抗拉强度的相对合成不确定度：      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表2  抗拉强度的标准不确定度分项汇总</w:t>
      </w:r>
    </w:p>
    <w:tbl>
      <w:tblPr>
        <w:tblStyle w:val="3"/>
        <w:tblW w:w="8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2457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标准不确定度分项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不确定度来源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相对标准不确定度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rep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测量重复性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lang w:val="es-ES"/>
              </w:rPr>
              <w:t>u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  <w:lang w:val="es-ES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1"/>
                <w:szCs w:val="21"/>
                <w:lang w:val="es-ES"/>
              </w:rPr>
              <w:t>F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sz w:val="21"/>
                <w:szCs w:val="21"/>
                <w:lang w:val="es-ES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最大力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289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3169" w:type="dxa"/>
            <w:noWrap w:val="0"/>
            <w:vAlign w:val="center"/>
          </w:tcPr>
          <w:p>
            <w:pPr>
              <w:ind w:firstLine="1050" w:firstLineChars="5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lang w:val="es-ES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vertAlign w:val="subscript"/>
                <w:lang w:val="es-E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  <w:lang w:val="es-ES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（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sz w:val="21"/>
                <w:szCs w:val="21"/>
              </w:rPr>
              <w:t>S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position w:val="-12"/>
                <w:sz w:val="21"/>
                <w:szCs w:val="21"/>
              </w:rPr>
              <w:object>
                <v:shape id="_x0000_i1041" o:spt="75" type="#_x0000_t75" style="height:18pt;width:6.7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43" r:id="rId4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试样原始横截面积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0.578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lang w:val="es-ES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vertAlign w:val="subscript"/>
                <w:lang w:val="es-E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  <w:lang w:val="es-ES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sz w:val="21"/>
                <w:szCs w:val="21"/>
              </w:rPr>
              <w:t>mv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拉伸速率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0.509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</w:t>
            </w: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4"/>
          <w:sz w:val="21"/>
          <w:szCs w:val="21"/>
        </w:rPr>
        <w:pict>
          <v:shape id="Object 15" o:spid="_x0000_s1039" o:spt="75" type="#_x0000_t75" style="position:absolute;left:0pt;margin-left:9.5pt;margin-top:6.1pt;height:69.05pt;width:343pt;mso-wrap-distance-bottom:0pt;mso-wrap-distance-left:9pt;mso-wrap-distance-right:9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square"/>
          </v:shape>
          <o:OLEObject Type="Embed" ProgID="" ShapeID="Object 15" DrawAspect="Content" ObjectID="_1468075744" r:id="rId42">
            <o:LockedField>false</o:LockedField>
          </o:OLEObject>
        </w:pi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3.6抗拉强度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检测过程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不确定度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U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/>
        </w:rPr>
        <w:t>rel(R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21"/>
          <w:szCs w:val="21"/>
          <w:vertAlign w:val="subscript"/>
          <w:lang w:val="en-US" w:eastAsia="zh-CN"/>
        </w:rPr>
        <w:t>m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：</w:t>
      </w: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取包含概率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</w:rPr>
        <w:t xml:space="preserve">p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= 95%，按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=2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则</w:t>
      </w: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  <w:object>
          <v:shape id="_x0000_i1042" o:spt="75" type="#_x0000_t75" style="height:19pt;width:232.7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42" DrawAspect="Content" ObjectID="_1468075745" r:id="rId44">
            <o:LockedField>false</o:LockedField>
          </o:OLEObject>
        </w:object>
      </w: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</w:pP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</w:pP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</w:pP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</w:pP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812966"/>
    <w:rsid w:val="014306EA"/>
    <w:rsid w:val="01891B53"/>
    <w:rsid w:val="02F70D3E"/>
    <w:rsid w:val="039842CF"/>
    <w:rsid w:val="03E5503B"/>
    <w:rsid w:val="046805A1"/>
    <w:rsid w:val="046E5C00"/>
    <w:rsid w:val="04D84FB1"/>
    <w:rsid w:val="0659586C"/>
    <w:rsid w:val="07893F2F"/>
    <w:rsid w:val="07F13FAE"/>
    <w:rsid w:val="09515928"/>
    <w:rsid w:val="0A3A4ED2"/>
    <w:rsid w:val="0A8E7B4D"/>
    <w:rsid w:val="0B8B1551"/>
    <w:rsid w:val="0CCF4D6C"/>
    <w:rsid w:val="0DFB6DDB"/>
    <w:rsid w:val="0E6406A7"/>
    <w:rsid w:val="0FF360CA"/>
    <w:rsid w:val="102F7D69"/>
    <w:rsid w:val="10A02A15"/>
    <w:rsid w:val="10C949D7"/>
    <w:rsid w:val="1102782C"/>
    <w:rsid w:val="11B029BC"/>
    <w:rsid w:val="126A721F"/>
    <w:rsid w:val="127C300E"/>
    <w:rsid w:val="13196AAF"/>
    <w:rsid w:val="145276DA"/>
    <w:rsid w:val="14E31FA2"/>
    <w:rsid w:val="17AB0D3F"/>
    <w:rsid w:val="183368E3"/>
    <w:rsid w:val="19111688"/>
    <w:rsid w:val="195874F0"/>
    <w:rsid w:val="1A4D6D70"/>
    <w:rsid w:val="1A8A3DEE"/>
    <w:rsid w:val="1A95369F"/>
    <w:rsid w:val="1B670199"/>
    <w:rsid w:val="1BB7231C"/>
    <w:rsid w:val="1C191727"/>
    <w:rsid w:val="1CCF4D95"/>
    <w:rsid w:val="1D5801D4"/>
    <w:rsid w:val="1DF1033F"/>
    <w:rsid w:val="1E211811"/>
    <w:rsid w:val="1E9E60BA"/>
    <w:rsid w:val="1EB36FD8"/>
    <w:rsid w:val="1EC5360D"/>
    <w:rsid w:val="1F3C0674"/>
    <w:rsid w:val="1F8A255F"/>
    <w:rsid w:val="20C52AE2"/>
    <w:rsid w:val="21FE759C"/>
    <w:rsid w:val="22D164A6"/>
    <w:rsid w:val="23E55803"/>
    <w:rsid w:val="240A4B93"/>
    <w:rsid w:val="24215ED8"/>
    <w:rsid w:val="24B06170"/>
    <w:rsid w:val="24D34D10"/>
    <w:rsid w:val="253A636E"/>
    <w:rsid w:val="254B784B"/>
    <w:rsid w:val="260E5689"/>
    <w:rsid w:val="26A3056B"/>
    <w:rsid w:val="26C5167F"/>
    <w:rsid w:val="28DD79E0"/>
    <w:rsid w:val="296F4B3A"/>
    <w:rsid w:val="2BB743F8"/>
    <w:rsid w:val="2D2A3841"/>
    <w:rsid w:val="2EA648A9"/>
    <w:rsid w:val="2FC516F9"/>
    <w:rsid w:val="30125395"/>
    <w:rsid w:val="304B2A33"/>
    <w:rsid w:val="30542A7D"/>
    <w:rsid w:val="334E6E9C"/>
    <w:rsid w:val="334F1D18"/>
    <w:rsid w:val="35223149"/>
    <w:rsid w:val="357006DD"/>
    <w:rsid w:val="35E328D9"/>
    <w:rsid w:val="36451CDC"/>
    <w:rsid w:val="36E67006"/>
    <w:rsid w:val="37BF7375"/>
    <w:rsid w:val="38304E95"/>
    <w:rsid w:val="38402264"/>
    <w:rsid w:val="39237490"/>
    <w:rsid w:val="39D13264"/>
    <w:rsid w:val="3B50759B"/>
    <w:rsid w:val="3BF515B8"/>
    <w:rsid w:val="3CE60F00"/>
    <w:rsid w:val="3D4B51DD"/>
    <w:rsid w:val="3DE56256"/>
    <w:rsid w:val="3F872D87"/>
    <w:rsid w:val="3F902E09"/>
    <w:rsid w:val="40E50A54"/>
    <w:rsid w:val="411520C4"/>
    <w:rsid w:val="41BD0482"/>
    <w:rsid w:val="42B602B8"/>
    <w:rsid w:val="43054FBA"/>
    <w:rsid w:val="43F42155"/>
    <w:rsid w:val="44E50086"/>
    <w:rsid w:val="45093C79"/>
    <w:rsid w:val="46696B15"/>
    <w:rsid w:val="48CA4535"/>
    <w:rsid w:val="490F38F8"/>
    <w:rsid w:val="4A68221F"/>
    <w:rsid w:val="4BBF1D3E"/>
    <w:rsid w:val="4C2F0EFA"/>
    <w:rsid w:val="4C2F2969"/>
    <w:rsid w:val="4D170653"/>
    <w:rsid w:val="4DA70238"/>
    <w:rsid w:val="4DCA032E"/>
    <w:rsid w:val="4E06429A"/>
    <w:rsid w:val="4EEF17D4"/>
    <w:rsid w:val="4F075432"/>
    <w:rsid w:val="4F5C6950"/>
    <w:rsid w:val="50FA6416"/>
    <w:rsid w:val="50FA7085"/>
    <w:rsid w:val="51661DEE"/>
    <w:rsid w:val="5185028A"/>
    <w:rsid w:val="51864A67"/>
    <w:rsid w:val="52320A18"/>
    <w:rsid w:val="55010F98"/>
    <w:rsid w:val="55617319"/>
    <w:rsid w:val="568A3285"/>
    <w:rsid w:val="57C678D4"/>
    <w:rsid w:val="58840FA8"/>
    <w:rsid w:val="58FF717A"/>
    <w:rsid w:val="593A6404"/>
    <w:rsid w:val="596F4905"/>
    <w:rsid w:val="599124C8"/>
    <w:rsid w:val="59A3044D"/>
    <w:rsid w:val="59CF3E63"/>
    <w:rsid w:val="5A100CFE"/>
    <w:rsid w:val="5B0C16FE"/>
    <w:rsid w:val="5B5633FE"/>
    <w:rsid w:val="5BEE0BFB"/>
    <w:rsid w:val="5FD0361E"/>
    <w:rsid w:val="6032616F"/>
    <w:rsid w:val="60C05104"/>
    <w:rsid w:val="615D6C63"/>
    <w:rsid w:val="637D3ABD"/>
    <w:rsid w:val="6442331A"/>
    <w:rsid w:val="644A3FE7"/>
    <w:rsid w:val="64C80D68"/>
    <w:rsid w:val="65860416"/>
    <w:rsid w:val="66C26E72"/>
    <w:rsid w:val="66FD4131"/>
    <w:rsid w:val="679B5D40"/>
    <w:rsid w:val="6BCC585F"/>
    <w:rsid w:val="6BF8490E"/>
    <w:rsid w:val="6C272580"/>
    <w:rsid w:val="6C8B3393"/>
    <w:rsid w:val="6CBF2375"/>
    <w:rsid w:val="6D3C4D71"/>
    <w:rsid w:val="6DE704B1"/>
    <w:rsid w:val="6ECC4053"/>
    <w:rsid w:val="6EDF4E3C"/>
    <w:rsid w:val="704279D0"/>
    <w:rsid w:val="70CD74D6"/>
    <w:rsid w:val="714E0847"/>
    <w:rsid w:val="72041A2B"/>
    <w:rsid w:val="74ED4516"/>
    <w:rsid w:val="76A71C12"/>
    <w:rsid w:val="773C3EE3"/>
    <w:rsid w:val="77A0336E"/>
    <w:rsid w:val="786A065C"/>
    <w:rsid w:val="787B63C5"/>
    <w:rsid w:val="794579C6"/>
    <w:rsid w:val="7A140880"/>
    <w:rsid w:val="7A374AD1"/>
    <w:rsid w:val="7A79522C"/>
    <w:rsid w:val="7B797D42"/>
    <w:rsid w:val="7BB37C24"/>
    <w:rsid w:val="7BC33AAC"/>
    <w:rsid w:val="7C823176"/>
    <w:rsid w:val="7CD3492A"/>
    <w:rsid w:val="7D7D73A7"/>
    <w:rsid w:val="7DBA098C"/>
    <w:rsid w:val="7E81400A"/>
    <w:rsid w:val="7F767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2021-11-01T13:25:00Z</dcterms:created>
  <dc:creator>86137</dc:creator>
  <cp:lastModifiedBy>金银铜铁</cp:lastModifiedBy>
  <dcterms:modified xsi:type="dcterms:W3CDTF">2023-02-18T07:55:51Z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1F911B27796C40E68B0243974A3701BB</vt:lpwstr>
  </property>
</Properties>
</file>