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0031-2023-Q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重庆琼池科技有限公司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重庆琼池科技有限公司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重庆市北碚区童家溪镇同兴北路128号</w:t>
            </w:r>
            <w:bookmarkEnd w:id="6"/>
          </w:p>
        </w:tc>
        <w:tc>
          <w:tcPr>
            <w:tcW w:w="1242" w:type="dxa"/>
            <w:vMerge w:val="restart"/>
            <w:vAlign w:val="center"/>
          </w:tcPr>
          <w:p>
            <w:r>
              <w:rPr>
                <w:rFonts w:hint="eastAsia"/>
              </w:rPr>
              <w:t>邮编</w:t>
            </w:r>
          </w:p>
        </w:tc>
        <w:tc>
          <w:tcPr>
            <w:tcW w:w="1771" w:type="dxa"/>
          </w:tcPr>
          <w:p>
            <w:bookmarkStart w:id="7" w:name="注册邮编"/>
            <w:r>
              <w:t>400700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重庆市北碚区童家溪镇同兴北路128号</w:t>
            </w:r>
            <w:bookmarkEnd w:id="8"/>
          </w:p>
        </w:tc>
        <w:tc>
          <w:tcPr>
            <w:tcW w:w="1242" w:type="dxa"/>
            <w:vMerge w:val="continue"/>
            <w:vAlign w:val="center"/>
          </w:tcPr>
          <w:p/>
        </w:tc>
        <w:tc>
          <w:tcPr>
            <w:tcW w:w="1771" w:type="dxa"/>
          </w:tcPr>
          <w:p>
            <w:bookmarkStart w:id="9" w:name="办公邮编"/>
            <w:r>
              <w:t>400700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秦海英</w:t>
            </w:r>
            <w:bookmarkEnd w:id="10"/>
          </w:p>
        </w:tc>
        <w:tc>
          <w:tcPr>
            <w:tcW w:w="1313" w:type="dxa"/>
            <w:vAlign w:val="center"/>
          </w:tcPr>
          <w:p>
            <w:r>
              <w:rPr>
                <w:rFonts w:hint="eastAsia"/>
              </w:rPr>
              <w:t>电话.</w:t>
            </w:r>
          </w:p>
        </w:tc>
        <w:tc>
          <w:tcPr>
            <w:tcW w:w="2180" w:type="dxa"/>
            <w:vAlign w:val="center"/>
          </w:tcPr>
          <w:p>
            <w:bookmarkStart w:id="11" w:name="联系人电话"/>
            <w:r>
              <w:t>18166467373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秦海英</w:t>
            </w:r>
            <w:bookmarkEnd w:id="13"/>
          </w:p>
        </w:tc>
        <w:tc>
          <w:tcPr>
            <w:tcW w:w="1313" w:type="dxa"/>
            <w:vAlign w:val="center"/>
          </w:tcPr>
          <w:p>
            <w:r>
              <w:rPr>
                <w:rFonts w:hint="eastAsia"/>
              </w:rPr>
              <w:t>管理者代表</w:t>
            </w:r>
          </w:p>
        </w:tc>
        <w:tc>
          <w:tcPr>
            <w:tcW w:w="2180" w:type="dxa"/>
          </w:tcPr>
          <w:p>
            <w:bookmarkStart w:id="14" w:name="管理者代表"/>
            <w:r>
              <w:t>范幸</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多班次说明</w:t>
            </w:r>
          </w:p>
        </w:tc>
        <w:tc>
          <w:tcPr>
            <w:tcW w:w="8058" w:type="dxa"/>
            <w:gridSpan w:val="5"/>
            <w:shd w:val="clear" w:color="auto" w:fill="auto"/>
            <w:vAlign w:val="top"/>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color w:val="000000"/>
                <w:szCs w:val="18"/>
                <w:u w:val="none"/>
              </w:rPr>
            </w:pPr>
            <w:r>
              <w:rPr>
                <w:rFonts w:hint="eastAsia" w:ascii="宋体" w:hAnsi="宋体" w:cs="宋体"/>
                <w:color w:val="000000"/>
                <w:kern w:val="0"/>
                <w:szCs w:val="21"/>
                <w:u w:val="none"/>
              </w:rPr>
              <w:t>金属结构件加工</w:t>
            </w:r>
            <w:r>
              <w:rPr>
                <w:rFonts w:hint="eastAsia" w:ascii="Times New Roman" w:hAnsi="Times New Roman" w:eastAsia="宋体" w:cs="Times New Roman"/>
                <w:color w:val="000000"/>
                <w:szCs w:val="18"/>
                <w:u w:val="none"/>
              </w:rPr>
              <w:t>生产流程：</w:t>
            </w:r>
            <w:r>
              <w:rPr>
                <w:rFonts w:hint="eastAsia" w:ascii="Times New Roman" w:hAnsi="Times New Roman" w:eastAsia="宋体" w:cs="Times New Roman"/>
                <w:color w:val="000000"/>
                <w:szCs w:val="18"/>
                <w:u w:val="none"/>
                <w:lang w:val="en-US" w:eastAsia="zh-CN"/>
              </w:rPr>
              <w:t>采购--检验--下料--</w:t>
            </w:r>
            <w:r>
              <w:rPr>
                <w:rFonts w:hint="eastAsia" w:cs="Times New Roman"/>
                <w:color w:val="000000"/>
                <w:szCs w:val="18"/>
                <w:u w:val="none"/>
                <w:lang w:val="en-US" w:eastAsia="zh-CN"/>
              </w:rPr>
              <w:t>折弯</w:t>
            </w:r>
            <w:r>
              <w:rPr>
                <w:rFonts w:hint="eastAsia" w:ascii="Times New Roman" w:hAnsi="Times New Roman" w:eastAsia="宋体" w:cs="Times New Roman"/>
                <w:color w:val="000000"/>
                <w:szCs w:val="18"/>
                <w:u w:val="none"/>
                <w:lang w:val="en-US" w:eastAsia="zh-CN"/>
              </w:rPr>
              <w:t>成型--</w:t>
            </w:r>
            <w:r>
              <w:rPr>
                <w:rFonts w:hint="eastAsia" w:cs="Times New Roman"/>
                <w:color w:val="000000"/>
                <w:szCs w:val="18"/>
                <w:u w:val="none"/>
                <w:lang w:val="en-US" w:eastAsia="zh-CN"/>
              </w:rPr>
              <w:t>焊接--</w:t>
            </w:r>
            <w:r>
              <w:rPr>
                <w:rFonts w:hint="eastAsia"/>
                <w:lang w:val="en-US" w:eastAsia="zh-CN"/>
              </w:rPr>
              <w:t>喷塑</w:t>
            </w:r>
            <w:r>
              <w:rPr>
                <w:rFonts w:hint="eastAsia"/>
              </w:rPr>
              <w:t>（需求时</w:t>
            </w:r>
            <w:r>
              <w:rPr>
                <w:rFonts w:hint="eastAsia"/>
                <w:lang w:eastAsia="zh-CN"/>
              </w:rPr>
              <w:t>、</w:t>
            </w:r>
            <w:r>
              <w:rPr>
                <w:rFonts w:hint="eastAsia"/>
                <w:lang w:val="en-US" w:eastAsia="zh-CN"/>
              </w:rPr>
              <w:t>外包）--组装</w:t>
            </w:r>
            <w:r>
              <w:rPr>
                <w:rFonts w:hint="eastAsia" w:ascii="Times New Roman" w:hAnsi="Times New Roman" w:eastAsia="宋体" w:cs="Times New Roman"/>
                <w:color w:val="000000"/>
                <w:szCs w:val="18"/>
                <w:u w:val="none"/>
                <w:lang w:val="en-US" w:eastAsia="zh-CN"/>
              </w:rPr>
              <w:t>--检验。</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2023年02月13日 上午至2023年02月13日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hAnsi="宋体" w:cs="宋体"/>
                <w:color w:val="000000"/>
                <w:kern w:val="0"/>
                <w:szCs w:val="21"/>
              </w:rPr>
              <w:t>重庆市北碚区童家溪镇同兴北路128号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0" w:name="审核范围"/>
            <w:r>
              <w:t>金属结构件加工（需资质的除外）</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17.06.01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ascii="宋体" w:hAnsi="宋体" w:cs="宋体"/>
                <w:color w:val="000000"/>
                <w:kern w:val="0"/>
                <w:szCs w:val="21"/>
              </w:rPr>
              <w:t>重庆琼池科技有限公司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重庆市北碚区童家溪镇同兴北路128号</w:t>
            </w:r>
          </w:p>
        </w:tc>
        <w:tc>
          <w:tcPr>
            <w:tcW w:w="2267" w:type="dxa"/>
            <w:vAlign w:val="top"/>
          </w:tcPr>
          <w:p>
            <w:pPr>
              <w:spacing w:before="40" w:after="40"/>
              <w:rPr>
                <w:lang w:val="de-DE" w:eastAsia="ja-JP"/>
              </w:rPr>
            </w:pPr>
            <w:r>
              <w:rPr>
                <w:rFonts w:hint="eastAsia" w:ascii="宋体" w:hAnsi="宋体" w:cs="宋体"/>
                <w:color w:val="000000"/>
                <w:kern w:val="0"/>
                <w:szCs w:val="21"/>
              </w:rPr>
              <w:t>重庆市北碚区童家溪镇同兴北路128号</w:t>
            </w:r>
          </w:p>
        </w:tc>
        <w:tc>
          <w:tcPr>
            <w:tcW w:w="571" w:type="dxa"/>
            <w:vAlign w:val="center"/>
          </w:tcPr>
          <w:p>
            <w:pPr>
              <w:spacing w:before="40" w:after="40"/>
              <w:rPr>
                <w:lang w:eastAsia="ja-JP"/>
              </w:rPr>
            </w:pPr>
            <w:r>
              <w:rPr>
                <w:rFonts w:hint="eastAsia" w:eastAsia="黑体"/>
                <w:szCs w:val="21"/>
                <w:lang w:val="en-US" w:eastAsia="zh-CN"/>
              </w:rPr>
              <w:t>12人</w:t>
            </w:r>
          </w:p>
        </w:tc>
        <w:tc>
          <w:tcPr>
            <w:tcW w:w="2803" w:type="dxa"/>
            <w:vAlign w:val="center"/>
          </w:tcPr>
          <w:p>
            <w:pPr>
              <w:pStyle w:val="20"/>
              <w:rPr>
                <w:lang w:eastAsia="ja-JP"/>
              </w:rPr>
            </w:pPr>
            <w:r>
              <w:rPr>
                <w:rFonts w:hint="eastAsia" w:ascii="宋体" w:hAnsi="宋体" w:eastAsia="宋体" w:cs="宋体"/>
                <w:color w:val="000000"/>
                <w:kern w:val="0"/>
                <w:sz w:val="21"/>
                <w:szCs w:val="21"/>
                <w:lang w:val="en-US" w:eastAsia="zh-CN" w:bidi="ar-SA"/>
              </w:rPr>
              <w:t>金属结构件加工（需资质的除外）</w:t>
            </w:r>
          </w:p>
        </w:tc>
        <w:tc>
          <w:tcPr>
            <w:tcW w:w="669" w:type="dxa"/>
            <w:vAlign w:val="center"/>
          </w:tcPr>
          <w:p>
            <w:pPr>
              <w:spacing w:before="40" w:after="40"/>
              <w:rPr>
                <w:lang w:eastAsia="ja-JP"/>
              </w:rPr>
            </w:pPr>
            <w:r>
              <w:rPr>
                <w:rFonts w:hint="eastAsia" w:ascii="宋体" w:hAnsi="宋体"/>
                <w:b w:val="0"/>
                <w:bCs/>
                <w:sz w:val="21"/>
                <w:szCs w:val="21"/>
              </w:rPr>
              <w:t>GB/T19001-2016</w:t>
            </w:r>
          </w:p>
        </w:tc>
        <w:tc>
          <w:tcPr>
            <w:tcW w:w="668" w:type="dxa"/>
            <w:shd w:val="clear" w:color="auto" w:fill="FFFFFF"/>
            <w:vAlign w:val="top"/>
          </w:tcPr>
          <w:sdt>
            <w:sdtPr>
              <w:rPr>
                <w:rFonts w:hint="eastAsia" w:ascii="宋体" w:hAnsi="宋体" w:eastAsia="宋体" w:cs="宋体"/>
                <w:szCs w:val="21"/>
              </w:rPr>
              <w:id w:val="271604670"/>
            </w:sdtPr>
            <w:sdtEndPr>
              <w:rPr>
                <w:rFonts w:hint="eastAsia" w:ascii="宋体" w:hAnsi="宋体" w:eastAsia="黑体" w:cs="宋体"/>
                <w:szCs w:val="21"/>
              </w:rPr>
            </w:sdtEndPr>
            <w:sdtContent>
              <w:p>
                <w:pPr>
                  <w:rPr>
                    <w:rFonts w:hint="eastAsia" w:ascii="宋体" w:hAnsi="宋体" w:eastAsia="黑体" w:cs="宋体"/>
                    <w:szCs w:val="21"/>
                  </w:rPr>
                </w:pPr>
                <w:r>
                  <w:rPr>
                    <w:rFonts w:hint="eastAsia" w:eastAsia="黑体"/>
                    <w:szCs w:val="21"/>
                    <w:lang w:eastAsia="zh-CN"/>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rPr>
                <w:rFonts w:ascii="Times New Roman" w:hAnsi="Times New Roman" w:eastAsia="宋体" w:cs="Times New Roman"/>
                <w:lang w:val="de-DE"/>
              </w:rPr>
              <w:t>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rPr>
                <w:rFonts w:hint="default" w:eastAsia="宋体"/>
                <w:lang w:val="en-US" w:eastAsia="zh-CN"/>
              </w:rPr>
            </w:pPr>
            <w:r>
              <w:rPr>
                <w:rFonts w:hint="eastAsia"/>
                <w:lang w:val="en-US" w:eastAsia="zh-CN"/>
              </w:rPr>
              <w:t>张心</w:t>
            </w:r>
          </w:p>
        </w:tc>
        <w:tc>
          <w:tcPr>
            <w:tcW w:w="1089" w:type="dxa"/>
            <w:vAlign w:val="center"/>
          </w:tcPr>
          <w:p>
            <w:pPr>
              <w:rPr>
                <w:rFonts w:hint="eastAsia" w:eastAsia="宋体"/>
                <w:lang w:val="en-US" w:eastAsia="zh-CN"/>
              </w:rPr>
            </w:pPr>
            <w:r>
              <w:rPr>
                <w:rFonts w:hint="eastAsia"/>
                <w:lang w:val="en-US" w:eastAsia="zh-CN"/>
              </w:rPr>
              <w:t>组员</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pPr>
              <w:rPr>
                <w:rFonts w:ascii="Times New Roman" w:hAnsi="Times New Roman" w:eastAsia="宋体" w:cs="Times New Roman"/>
                <w:lang w:val="de-DE" w:eastAsia="zh-CN"/>
              </w:rPr>
            </w:pPr>
            <w:r>
              <w:rPr>
                <w:sz w:val="22"/>
                <w:szCs w:val="22"/>
                <w:highlight w:val="none"/>
                <w:lang w:val="de-DE"/>
              </w:rPr>
              <w:t>2021-N1QMS-3207381</w:t>
            </w:r>
          </w:p>
        </w:tc>
        <w:tc>
          <w:tcPr>
            <w:tcW w:w="2179" w:type="dxa"/>
            <w:vAlign w:val="center"/>
          </w:tcPr>
          <w:p>
            <w:pPr>
              <w:rPr>
                <w:rFonts w:ascii="Times New Roman" w:hAnsi="Times New Roman" w:eastAsia="宋体" w:cs="Times New Roman"/>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color w:val="000000"/>
                <w:highlight w:val="none"/>
                <w:u w:val="none"/>
                <w:lang w:val="en-US" w:eastAsia="zh-CN"/>
              </w:rPr>
              <w:t>一阶段审核</w:t>
            </w:r>
            <w:r>
              <w:rPr>
                <w:rFonts w:hint="eastAsia" w:eastAsia="宋体"/>
                <w:color w:val="000000"/>
                <w:highlight w:val="none"/>
                <w:u w:val="none"/>
                <w:lang w:val="en-US" w:eastAsia="zh-CN"/>
              </w:rPr>
              <w:t>发现</w:t>
            </w:r>
            <w:r>
              <w:rPr>
                <w:rFonts w:hint="eastAsia"/>
                <w:color w:val="000000"/>
                <w:highlight w:val="none"/>
                <w:u w:val="none"/>
                <w:lang w:val="en-US" w:eastAsia="zh-CN"/>
              </w:rPr>
              <w:t>钢卷尺、</w:t>
            </w:r>
            <w:r>
              <w:rPr>
                <w:rFonts w:hint="eastAsia" w:eastAsia="宋体"/>
                <w:color w:val="000000"/>
                <w:highlight w:val="none"/>
                <w:u w:val="none"/>
                <w:lang w:val="en-US" w:eastAsia="zh-CN"/>
              </w:rPr>
              <w:t>游标卡尺、</w:t>
            </w:r>
            <w:r>
              <w:rPr>
                <w:rFonts w:hint="eastAsia"/>
                <w:color w:val="000000"/>
                <w:highlight w:val="none"/>
                <w:u w:val="none"/>
                <w:lang w:val="en-US" w:eastAsia="zh-CN"/>
              </w:rPr>
              <w:t>万能角度</w:t>
            </w:r>
            <w:r>
              <w:rPr>
                <w:rFonts w:hint="eastAsia" w:eastAsia="宋体"/>
                <w:color w:val="000000"/>
                <w:highlight w:val="none"/>
                <w:u w:val="none"/>
                <w:lang w:val="en-US" w:eastAsia="zh-CN"/>
              </w:rPr>
              <w:t>尺未提供有效检定或校准报告，未能完成整改，已开具不符合项报告，需整改。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ascii="Times New Roman" w:hAnsi="Times New Roman" w:eastAsia="宋体" w:cs="Times New Roman"/>
              </w:rPr>
              <w:t>金属结构件加工（需资质的除外）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highlight w:val="none"/>
              </w:rPr>
              <w:t>■</w:t>
            </w:r>
            <w:r>
              <w:rPr>
                <w:rFonts w:hint="eastAsia"/>
                <w:highlight w:val="none"/>
              </w:rPr>
              <w:t>在完成纠正措施后推荐认证注册(</w:t>
            </w:r>
            <w:r>
              <w:rPr>
                <w:rFonts w:hint="eastAsia" w:ascii="宋体" w:hAnsi="宋体" w:eastAsia="宋体" w:cs="宋体"/>
                <w:highlight w:val="none"/>
              </w:rPr>
              <w:t>■</w:t>
            </w:r>
            <w:r>
              <w:rPr>
                <w:rFonts w:hint="eastAsia"/>
                <w:highlight w:val="none"/>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top"/>
          </w:tcPr>
          <w:p>
            <w:r>
              <w:rPr>
                <w:rFonts w:hint="eastAsia"/>
              </w:rPr>
              <w:t>审核组长签字</w:t>
            </w:r>
          </w:p>
        </w:tc>
        <w:tc>
          <w:tcPr>
            <w:tcW w:w="2764" w:type="dxa"/>
            <w:tcMar>
              <w:left w:w="113" w:type="dxa"/>
            </w:tcMar>
            <w:vAlign w:val="top"/>
          </w:tcPr>
          <w:p>
            <w:pPr>
              <w:rPr>
                <w:rFonts w:hint="default" w:eastAsia="宋体"/>
                <w:lang w:val="en-US" w:eastAsia="zh-CN"/>
              </w:rPr>
            </w:pPr>
            <w:r>
              <w:rPr>
                <w:rFonts w:hint="eastAsia"/>
                <w:lang w:val="en-US" w:eastAsia="zh-CN"/>
              </w:rPr>
              <w:t>杨珍全</w:t>
            </w:r>
            <w:bookmarkStart w:id="25" w:name="_GoBack"/>
            <w:bookmarkEnd w:id="25"/>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b/>
                <w:sz w:val="21"/>
                <w:szCs w:val="21"/>
              </w:rPr>
              <w:t>202</w:t>
            </w:r>
            <w:r>
              <w:rPr>
                <w:rFonts w:hint="eastAsia"/>
                <w:b/>
                <w:sz w:val="21"/>
                <w:szCs w:val="21"/>
                <w:lang w:val="en-US" w:eastAsia="zh-CN"/>
              </w:rPr>
              <w:t>3</w:t>
            </w:r>
            <w:r>
              <w:rPr>
                <w:rFonts w:hint="eastAsia"/>
                <w:b/>
                <w:sz w:val="21"/>
                <w:szCs w:val="21"/>
              </w:rPr>
              <w:t>年</w:t>
            </w:r>
            <w:r>
              <w:rPr>
                <w:rFonts w:hint="eastAsia"/>
                <w:b/>
                <w:sz w:val="21"/>
                <w:szCs w:val="21"/>
                <w:lang w:val="en-US" w:eastAsia="zh-CN"/>
              </w:rPr>
              <w:t>2</w:t>
            </w:r>
            <w:r>
              <w:rPr>
                <w:rFonts w:hint="eastAsia"/>
                <w:b/>
                <w:sz w:val="21"/>
                <w:szCs w:val="21"/>
              </w:rPr>
              <w:t>月</w:t>
            </w:r>
            <w:r>
              <w:rPr>
                <w:rFonts w:hint="eastAsia"/>
                <w:b/>
                <w:sz w:val="21"/>
                <w:szCs w:val="21"/>
                <w:lang w:val="en-US" w:eastAsia="zh-CN"/>
              </w:rPr>
              <w:t>13</w:t>
            </w:r>
            <w:r>
              <w:rPr>
                <w:rFonts w:hint="eastAsia"/>
                <w:b/>
                <w:sz w:val="21"/>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lang w:eastAsia="zh-CN"/>
              </w:rPr>
              <w:t>■</w:t>
            </w:r>
            <w:r>
              <w:rPr>
                <w:rFonts w:hint="eastAsia"/>
              </w:rPr>
              <w:t xml:space="preserve">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rFonts w:hint="eastAsia" w:ascii="宋体" w:hAnsi="宋体" w:eastAsia="宋体" w:cs="宋体"/>
                <w:color w:val="000000"/>
                <w:sz w:val="21"/>
                <w:szCs w:val="21"/>
                <w:u w:val="single"/>
                <w:lang w:eastAsia="zh-CN"/>
              </w:rPr>
            </w:pPr>
            <w:r>
              <w:rPr>
                <w:rFonts w:hint="eastAsia"/>
              </w:rPr>
              <w:t>最高管理者制定了文件化的管理体系方针：</w:t>
            </w:r>
            <w:r>
              <w:rPr>
                <w:rFonts w:hint="eastAsia" w:ascii="Times New Roman" w:hAnsi="Times New Roman" w:cs="Times New Roman"/>
                <w:color w:val="000000"/>
                <w:szCs w:val="18"/>
                <w:lang w:eastAsia="zh-CN"/>
              </w:rPr>
              <w:t>“</w:t>
            </w:r>
            <w:r>
              <w:rPr>
                <w:rFonts w:hint="eastAsia" w:ascii="Times New Roman" w:hAnsi="Times New Roman" w:eastAsia="宋体" w:cs="Times New Roman"/>
                <w:color w:val="000000"/>
                <w:szCs w:val="18"/>
              </w:rPr>
              <w:t>质量为本、信誉至上，持续改进，争创一流，满足要求</w:t>
            </w:r>
            <w:r>
              <w:rPr>
                <w:rFonts w:hint="eastAsia" w:ascii="Times New Roman" w:hAnsi="Times New Roman" w:cs="Times New Roman"/>
                <w:color w:val="000000"/>
                <w:szCs w:val="18"/>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ascii="宋体" w:hAnsi="宋体" w:eastAsia="宋体"/>
                <w:sz w:val="21"/>
                <w:szCs w:val="21"/>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green"/>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highlight w:val="green"/>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green"/>
                      <w:lang w:val="en-US" w:eastAsia="zh-CN" w:bidi="ar-SA"/>
                    </w:rPr>
                  </w:pPr>
                  <w:r>
                    <w:rPr>
                      <w:rFonts w:hint="eastAsia" w:ascii="Times New Roman" w:hAnsi="Times New Roman" w:eastAsia="宋体" w:cs="Times New Roman"/>
                      <w:highlight w:val="none"/>
                      <w:lang w:eastAsia="zh-CN"/>
                    </w:rPr>
                    <w:t>服务质量不良造成客户流失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val="en-US" w:eastAsia="zh-CN"/>
                    </w:rPr>
                    <w:t>供销部</w:t>
                  </w:r>
                  <w:r>
                    <w:rPr>
                      <w:rFonts w:hint="eastAsia" w:ascii="宋体" w:hAnsi="宋体" w:cs="宋体"/>
                      <w:sz w:val="21"/>
                      <w:szCs w:val="21"/>
                    </w:rPr>
                    <w:t>和</w:t>
                  </w:r>
                  <w:r>
                    <w:rPr>
                      <w:rFonts w:hint="eastAsia" w:ascii="宋体" w:hAnsi="宋体" w:cs="宋体"/>
                      <w:sz w:val="21"/>
                      <w:szCs w:val="21"/>
                      <w:lang w:val="en-US" w:eastAsia="zh-CN"/>
                    </w:rPr>
                    <w:t>生技部</w:t>
                  </w:r>
                  <w:r>
                    <w:rPr>
                      <w:rFonts w:hint="eastAsia" w:ascii="宋体" w:hAnsi="宋体" w:cs="宋体"/>
                      <w:sz w:val="21"/>
                      <w:szCs w:val="21"/>
                    </w:rPr>
                    <w:t>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p>
              </w:tc>
              <w:tc>
                <w:tcPr>
                  <w:tcW w:w="3965" w:type="dxa"/>
                  <w:vAlign w:val="top"/>
                </w:tcPr>
                <w:p>
                  <w:pPr>
                    <w:shd w:val="clear" w:color="auto" w:fill="C7DAF1" w:themeFill="text2" w:themeFillTint="32"/>
                  </w:pPr>
                </w:p>
              </w:tc>
              <w:tc>
                <w:tcPr>
                  <w:tcW w:w="1717" w:type="dxa"/>
                  <w:vAlign w:val="top"/>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highlight w:val="none"/>
                    </w:rPr>
                  </w:pPr>
                  <w:r>
                    <w:rPr>
                      <w:rFonts w:hint="eastAsia" w:ascii="宋体" w:hAnsi="宋体" w:eastAsia="宋体" w:cs="Times New Roman"/>
                      <w:sz w:val="21"/>
                      <w:szCs w:val="21"/>
                    </w:rPr>
                    <w:t>产品</w:t>
                  </w:r>
                  <w:r>
                    <w:rPr>
                      <w:rFonts w:hint="eastAsia" w:ascii="宋体" w:hAnsi="宋体" w:eastAsia="宋体" w:cs="Times New Roman"/>
                      <w:sz w:val="21"/>
                      <w:szCs w:val="21"/>
                      <w:lang w:eastAsia="zh-CN"/>
                    </w:rPr>
                    <w:t>交验一次合格率98%</w:t>
                  </w:r>
                </w:p>
              </w:tc>
              <w:tc>
                <w:tcPr>
                  <w:tcW w:w="3136" w:type="dxa"/>
                  <w:shd w:val="clear" w:color="auto" w:fill="auto"/>
                  <w:vAlign w:val="center"/>
                </w:tcPr>
                <w:p>
                  <w:pPr>
                    <w:rPr>
                      <w:rFonts w:hint="eastAsia"/>
                      <w:color w:val="auto"/>
                      <w:highlight w:val="none"/>
                      <w:lang w:val="en-GB"/>
                    </w:rPr>
                  </w:pPr>
                  <w:r>
                    <w:rPr>
                      <w:rFonts w:hint="eastAsia" w:ascii="宋体" w:hAnsi="宋体" w:cs="宋体"/>
                      <w:color w:val="000000"/>
                      <w:kern w:val="0"/>
                    </w:rPr>
                    <w:t>合格量÷检验总数量×100%；</w:t>
                  </w:r>
                </w:p>
              </w:tc>
              <w:tc>
                <w:tcPr>
                  <w:tcW w:w="1350" w:type="dxa"/>
                  <w:shd w:val="clear" w:color="auto" w:fill="auto"/>
                  <w:vAlign w:val="center"/>
                </w:tcPr>
                <w:p>
                  <w:pPr>
                    <w:widowControl/>
                    <w:spacing w:before="40"/>
                    <w:jc w:val="left"/>
                    <w:rPr>
                      <w:rFonts w:hint="default" w:ascii="Times New Roman" w:hAnsi="Times New Roman" w:eastAsia="宋体" w:cs="Times New Roman"/>
                      <w:color w:val="auto"/>
                      <w:szCs w:val="18"/>
                      <w:highlight w:val="none"/>
                      <w:lang w:val="en-US" w:eastAsia="zh-CN"/>
                    </w:rPr>
                  </w:pPr>
                  <w:r>
                    <w:rPr>
                      <w:rFonts w:hint="eastAsia" w:ascii="Times New Roman" w:hAnsi="Times New Roman" w:eastAsia="宋体" w:cs="Times New Roman"/>
                      <w:color w:val="auto"/>
                      <w:szCs w:val="18"/>
                      <w:highlight w:val="none"/>
                      <w:lang w:val="en-US" w:eastAsia="zh-CN"/>
                    </w:rPr>
                    <w:t>生技部</w:t>
                  </w:r>
                </w:p>
              </w:tc>
              <w:tc>
                <w:tcPr>
                  <w:tcW w:w="1774" w:type="dxa"/>
                  <w:shd w:val="clear" w:color="auto" w:fill="auto"/>
                  <w:vAlign w:val="center"/>
                </w:tcPr>
                <w:p>
                  <w:pPr>
                    <w:widowControl/>
                    <w:spacing w:before="40"/>
                    <w:jc w:val="left"/>
                    <w:rPr>
                      <w:rFonts w:hint="default" w:ascii="Times New Roman" w:hAnsi="Times New Roman" w:eastAsia="宋体" w:cs="Times New Roman"/>
                      <w:color w:val="auto"/>
                      <w:szCs w:val="18"/>
                      <w:highlight w:val="none"/>
                      <w:lang w:val="en-US" w:eastAsia="zh-CN"/>
                    </w:rPr>
                  </w:pPr>
                  <w:r>
                    <w:rPr>
                      <w:rFonts w:hint="eastAsia" w:ascii="Times New Roman" w:hAnsi="Times New Roman" w:eastAsia="宋体" w:cs="Times New Roman"/>
                      <w:color w:val="auto"/>
                      <w:szCs w:val="18"/>
                      <w:highlight w:val="none"/>
                      <w:lang w:val="en-US" w:eastAsia="zh-CN"/>
                    </w:rPr>
                    <w:t>98.25%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highlight w:val="none"/>
                    </w:rPr>
                  </w:pPr>
                  <w:r>
                    <w:rPr>
                      <w:rFonts w:hint="eastAsia" w:ascii="宋体" w:hAnsi="宋体" w:eastAsia="宋体" w:cs="Times New Roman"/>
                      <w:sz w:val="21"/>
                      <w:szCs w:val="21"/>
                    </w:rPr>
                    <w:t>交货期满意率90%</w:t>
                  </w:r>
                </w:p>
              </w:tc>
              <w:tc>
                <w:tcPr>
                  <w:tcW w:w="3136" w:type="dxa"/>
                  <w:shd w:val="clear" w:color="auto" w:fill="auto"/>
                  <w:vAlign w:val="center"/>
                </w:tcPr>
                <w:p>
                  <w:pPr>
                    <w:rPr>
                      <w:rFonts w:hint="eastAsia"/>
                      <w:color w:val="auto"/>
                      <w:highlight w:val="none"/>
                    </w:rPr>
                  </w:pPr>
                  <w:r>
                    <w:rPr>
                      <w:rFonts w:hint="eastAsia" w:ascii="宋体" w:hAnsi="宋体" w:cs="宋体"/>
                      <w:color w:val="000000"/>
                      <w:kern w:val="0"/>
                    </w:rPr>
                    <w:t>按期交付数量÷需交付总数量</w:t>
                  </w:r>
                </w:p>
              </w:tc>
              <w:tc>
                <w:tcPr>
                  <w:tcW w:w="1350" w:type="dxa"/>
                  <w:shd w:val="clear" w:color="auto" w:fill="auto"/>
                  <w:vAlign w:val="center"/>
                </w:tcPr>
                <w:p>
                  <w:pPr>
                    <w:widowControl/>
                    <w:spacing w:before="40"/>
                    <w:jc w:val="left"/>
                    <w:rPr>
                      <w:rFonts w:hint="default" w:ascii="Times New Roman" w:hAnsi="Times New Roman" w:eastAsia="宋体" w:cs="Times New Roman"/>
                      <w:color w:val="auto"/>
                      <w:szCs w:val="18"/>
                      <w:highlight w:val="none"/>
                      <w:lang w:val="en-US" w:eastAsia="zh-CN"/>
                    </w:rPr>
                  </w:pPr>
                  <w:r>
                    <w:rPr>
                      <w:rFonts w:hint="eastAsia" w:ascii="Times New Roman" w:hAnsi="Times New Roman" w:eastAsia="宋体" w:cs="Times New Roman"/>
                      <w:color w:val="auto"/>
                      <w:szCs w:val="18"/>
                      <w:highlight w:val="none"/>
                      <w:lang w:val="en-US" w:eastAsia="zh-CN"/>
                    </w:rPr>
                    <w:t>供销部</w:t>
                  </w:r>
                </w:p>
              </w:tc>
              <w:tc>
                <w:tcPr>
                  <w:tcW w:w="1774" w:type="dxa"/>
                  <w:shd w:val="clear" w:color="auto" w:fill="auto"/>
                  <w:vAlign w:val="center"/>
                </w:tcPr>
                <w:p>
                  <w:pPr>
                    <w:widowControl/>
                    <w:spacing w:before="40"/>
                    <w:jc w:val="left"/>
                    <w:rPr>
                      <w:rFonts w:hint="default" w:ascii="Times New Roman" w:hAnsi="Times New Roman" w:eastAsia="宋体" w:cs="Times New Roman"/>
                      <w:color w:val="auto"/>
                      <w:szCs w:val="18"/>
                      <w:highlight w:val="none"/>
                      <w:lang w:val="en-US" w:eastAsia="zh-CN"/>
                    </w:rPr>
                  </w:pPr>
                  <w:r>
                    <w:rPr>
                      <w:rFonts w:hint="eastAsia" w:ascii="Times New Roman" w:hAnsi="Times New Roman" w:eastAsia="宋体" w:cs="Times New Roman"/>
                      <w:color w:val="000000"/>
                      <w:szCs w:val="18"/>
                      <w:highlight w:val="none"/>
                      <w:lang w:val="en-US" w:eastAsia="zh-CN"/>
                    </w:rPr>
                    <w:t>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宋体" w:hAnsi="宋体" w:eastAsia="宋体" w:cs="Times New Roman"/>
                      <w:sz w:val="21"/>
                      <w:szCs w:val="21"/>
                      <w:lang w:eastAsia="zh-CN"/>
                    </w:rPr>
                    <w:t>相关方</w:t>
                  </w:r>
                  <w:r>
                    <w:rPr>
                      <w:rFonts w:hint="eastAsia" w:ascii="宋体" w:hAnsi="宋体" w:eastAsia="宋体" w:cs="Times New Roman"/>
                      <w:sz w:val="21"/>
                      <w:szCs w:val="21"/>
                    </w:rPr>
                    <w:t>满意率95分以上</w:t>
                  </w:r>
                </w:p>
              </w:tc>
              <w:tc>
                <w:tcPr>
                  <w:tcW w:w="3136" w:type="dxa"/>
                  <w:shd w:val="clear" w:color="auto" w:fill="auto"/>
                  <w:vAlign w:val="center"/>
                </w:tcPr>
                <w:p>
                  <w:pPr>
                    <w:rPr>
                      <w:rFonts w:ascii="宋体" w:hAnsi="宋体"/>
                    </w:rPr>
                  </w:pPr>
                  <w:r>
                    <w:rPr>
                      <w:rFonts w:hint="eastAsia" w:ascii="宋体" w:hAnsi="宋体" w:cs="宋体"/>
                      <w:color w:val="000000"/>
                      <w:kern w:val="0"/>
                    </w:rPr>
                    <w:t>打分总分数÷调查数量</w:t>
                  </w:r>
                </w:p>
              </w:tc>
              <w:tc>
                <w:tcPr>
                  <w:tcW w:w="1350" w:type="dxa"/>
                  <w:shd w:val="clear" w:color="auto" w:fill="auto"/>
                  <w:vAlign w:val="center"/>
                </w:tcPr>
                <w:p>
                  <w:pPr>
                    <w:shd w:val="clear" w:color="auto" w:fill="C7DAF1" w:themeFill="text2" w:themeFillTint="32"/>
                    <w:rPr>
                      <w:rFonts w:ascii="宋体" w:hAnsi="宋体"/>
                    </w:rPr>
                  </w:pPr>
                  <w:r>
                    <w:rPr>
                      <w:rFonts w:hint="eastAsia" w:ascii="Times New Roman" w:hAnsi="Times New Roman" w:eastAsia="宋体" w:cs="Times New Roman"/>
                      <w:color w:val="auto"/>
                      <w:szCs w:val="18"/>
                      <w:highlight w:val="none"/>
                      <w:lang w:val="en-US" w:eastAsia="zh-CN"/>
                    </w:rPr>
                    <w:t>供销部</w:t>
                  </w:r>
                </w:p>
              </w:tc>
              <w:tc>
                <w:tcPr>
                  <w:tcW w:w="1774" w:type="dxa"/>
                  <w:shd w:val="clear" w:color="auto" w:fill="auto"/>
                  <w:vAlign w:val="center"/>
                </w:tcPr>
                <w:p>
                  <w:pPr>
                    <w:widowControl/>
                    <w:spacing w:before="40"/>
                    <w:jc w:val="left"/>
                    <w:rPr>
                      <w:rFonts w:ascii="宋体" w:hAnsi="宋体"/>
                    </w:rPr>
                  </w:pPr>
                  <w:r>
                    <w:rPr>
                      <w:rFonts w:hint="eastAsia" w:ascii="Times New Roman" w:hAnsi="Times New Roman" w:eastAsia="宋体" w:cs="Times New Roman"/>
                      <w:color w:val="000000"/>
                      <w:szCs w:val="18"/>
                      <w:highlight w:val="none"/>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highlight w:val="none"/>
              </w:rPr>
            </w:pPr>
            <w:r>
              <w:rPr>
                <w:rFonts w:hint="eastAsia"/>
                <w:highlight w:val="none"/>
                <w:lang w:val="en-US" w:eastAsia="zh-CN"/>
              </w:rPr>
              <w:t>生产车间</w:t>
            </w:r>
            <w:r>
              <w:rPr>
                <w:rFonts w:hint="eastAsia"/>
                <w:highlight w:val="none"/>
              </w:rPr>
              <w:t>面积</w:t>
            </w:r>
            <w:r>
              <w:rPr>
                <w:rFonts w:hint="eastAsia"/>
                <w:highlight w:val="none"/>
                <w:lang w:val="en-US" w:eastAsia="zh-CN"/>
              </w:rPr>
              <w:t>1000</w:t>
            </w:r>
            <w:r>
              <w:rPr>
                <w:rFonts w:hint="eastAsia"/>
                <w:highlight w:val="none"/>
              </w:rPr>
              <w:t>平方米</w:t>
            </w:r>
            <w:r>
              <w:rPr>
                <w:rFonts w:hint="eastAsia"/>
                <w:highlight w:val="none"/>
                <w:lang w:val="en-US" w:eastAsia="zh-CN"/>
              </w:rPr>
              <w:t>、办公室面积</w:t>
            </w:r>
            <w:r>
              <w:rPr>
                <w:rFonts w:hint="eastAsia"/>
                <w:highlight w:val="none"/>
              </w:rPr>
              <w:t xml:space="preserve"> </w:t>
            </w:r>
            <w:r>
              <w:rPr>
                <w:rFonts w:hint="eastAsia"/>
                <w:highlight w:val="none"/>
                <w:lang w:val="en-US" w:eastAsia="zh-CN"/>
              </w:rPr>
              <w:t>200</w:t>
            </w:r>
            <w:r>
              <w:rPr>
                <w:rFonts w:hint="eastAsia"/>
                <w:highlight w:val="none"/>
              </w:rPr>
              <w:t>平方米；库房</w:t>
            </w:r>
            <w:r>
              <w:rPr>
                <w:rFonts w:hint="eastAsia"/>
                <w:highlight w:val="none"/>
                <w:lang w:val="en-US" w:eastAsia="zh-CN"/>
              </w:rPr>
              <w:t>150</w:t>
            </w:r>
            <w:r>
              <w:rPr>
                <w:rFonts w:hint="eastAsia"/>
                <w:highlight w:val="none"/>
              </w:rPr>
              <w:t>平方米；实验室   个；</w:t>
            </w:r>
          </w:p>
          <w:p>
            <w:pPr>
              <w:shd w:val="clear" w:color="auto" w:fill="C7DAF1" w:themeFill="text2" w:themeFillTint="32"/>
              <w:rPr>
                <w:rFonts w:hint="eastAsia"/>
                <w:lang w:eastAsia="zh-CN"/>
              </w:rPr>
            </w:pPr>
            <w:r>
              <w:rPr>
                <w:rFonts w:hint="eastAsia"/>
                <w:highlight w:val="none"/>
              </w:rPr>
              <w:t>主要生产设备有：</w:t>
            </w:r>
            <w:r>
              <w:rPr>
                <w:rFonts w:hint="eastAsia" w:ascii="Times New Roman" w:hAnsi="Times New Roman" w:eastAsia="宋体" w:cs="Times New Roman"/>
                <w:color w:val="000000"/>
                <w:highlight w:val="none"/>
                <w:u w:val="single"/>
                <w:lang w:val="en-US" w:eastAsia="zh-CN"/>
              </w:rPr>
              <w:t>剪板机、激光切割机、数控折弯机、焊机、摇臂钻</w:t>
            </w:r>
            <w:r>
              <w:rPr>
                <w:rFonts w:hint="eastAsia"/>
                <w:lang w:val="en-US" w:eastAsia="zh-CN"/>
              </w:rPr>
              <w:t>床及电脑和办公设备等</w:t>
            </w:r>
            <w:r>
              <w:rPr>
                <w:rFonts w:hint="eastAsia"/>
                <w:lang w:eastAsia="zh-CN"/>
              </w:rPr>
              <w:t>。</w:t>
            </w:r>
          </w:p>
          <w:p>
            <w:pPr>
              <w:shd w:val="clear" w:color="auto" w:fill="C7DAF1" w:themeFill="text2" w:themeFillTint="32"/>
              <w:rPr>
                <w:rFonts w:hint="eastAsia"/>
              </w:rPr>
            </w:pPr>
            <w:r>
              <w:rPr>
                <w:rFonts w:hint="eastAsia"/>
              </w:rPr>
              <w:t>特种设备：</w:t>
            </w:r>
            <w:r>
              <w:rPr>
                <w:rFonts w:hint="eastAsia"/>
                <w:lang w:eastAsia="zh-CN"/>
              </w:rPr>
              <w:t>□</w:t>
            </w:r>
            <w:r>
              <w:rPr>
                <w:rFonts w:hint="eastAsia"/>
              </w:rPr>
              <w:t xml:space="preserve">叉车 </w:t>
            </w:r>
            <w:r>
              <w:rPr>
                <w:rFonts w:hint="eastAsia"/>
                <w:lang w:eastAsia="zh-CN"/>
              </w:rPr>
              <w:t>□</w:t>
            </w:r>
            <w:r>
              <w:rPr>
                <w:rFonts w:hint="eastAsia"/>
              </w:rPr>
              <w:t xml:space="preserve">行车 </w:t>
            </w:r>
            <w:r>
              <w:rPr>
                <w:rFonts w:hint="eastAsia"/>
                <w:lang w:eastAsia="zh-CN"/>
              </w:rPr>
              <w:t>□</w:t>
            </w:r>
            <w:r>
              <w:rPr>
                <w:rFonts w:hint="eastAsia"/>
              </w:rPr>
              <w:t xml:space="preserve">锅炉 </w:t>
            </w:r>
            <w:r>
              <w:rPr>
                <w:rFonts w:hint="eastAsia"/>
                <w:lang w:eastAsia="zh-CN"/>
              </w:rPr>
              <w:t>□</w:t>
            </w:r>
            <w:r>
              <w:rPr>
                <w:rFonts w:hint="eastAsia"/>
              </w:rPr>
              <w:t xml:space="preserve">电梯  </w:t>
            </w:r>
            <w:r>
              <w:rPr>
                <w:rFonts w:hint="eastAsia"/>
                <w:lang w:eastAsia="zh-CN"/>
              </w:rPr>
              <w:t>□</w:t>
            </w:r>
            <w:r>
              <w:rPr>
                <w:rFonts w:hint="eastAsia"/>
              </w:rPr>
              <w:t xml:space="preserve">压力容器  </w:t>
            </w:r>
            <w:r>
              <w:rPr>
                <w:rFonts w:hint="eastAsia"/>
                <w:lang w:eastAsia="zh-CN"/>
              </w:rPr>
              <w:t>□</w:t>
            </w:r>
            <w:r>
              <w:rPr>
                <w:rFonts w:hint="eastAsia"/>
              </w:rPr>
              <w:t xml:space="preserve">压力管道  </w:t>
            </w:r>
            <w:r>
              <w:rPr>
                <w:rFonts w:hint="eastAsia"/>
                <w:lang w:eastAsia="zh-CN"/>
              </w:rPr>
              <w:t>□</w:t>
            </w:r>
            <w:r>
              <w:rPr>
                <w:rFonts w:hint="eastAsia"/>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宋体" w:hAnsi="宋体" w:eastAsia="宋体" w:cs="宋体"/>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rFonts w:hint="eastAsia" w:eastAsia="宋体"/>
                <w:highlight w:val="green"/>
                <w:lang w:val="en-US" w:eastAsia="zh-CN"/>
              </w:rPr>
            </w:pPr>
            <w:r>
              <w:rPr>
                <w:rFonts w:hint="eastAsia"/>
                <w:highlight w:val="none"/>
              </w:rPr>
              <w:t>国家强检的计量器具有：</w:t>
            </w:r>
            <w:r>
              <w:rPr>
                <w:rFonts w:hint="eastAsia"/>
                <w:highlight w:val="none"/>
                <w:lang w:val="en-US" w:eastAsia="zh-CN"/>
              </w:rPr>
              <w:t>无</w:t>
            </w:r>
          </w:p>
          <w:p>
            <w:pPr>
              <w:shd w:val="clear" w:color="auto" w:fill="C7DAF1" w:themeFill="text2" w:themeFillTint="32"/>
              <w:rPr>
                <w:u w:val="single"/>
              </w:rPr>
            </w:pPr>
            <w:r>
              <w:rPr>
                <w:rFonts w:hint="eastAsia"/>
                <w:highlight w:val="none"/>
              </w:rPr>
              <w:t>计量器具管理：</w:t>
            </w:r>
            <w:r>
              <w:rPr>
                <w:rFonts w:hint="eastAsia"/>
                <w:highlight w:val="none"/>
                <w:lang w:eastAsia="zh-CN"/>
              </w:rPr>
              <w:t>□</w:t>
            </w:r>
            <w:r>
              <w:rPr>
                <w:rFonts w:hint="eastAsia"/>
                <w:highlight w:val="none"/>
              </w:rPr>
              <w:t xml:space="preserve">进行了定期校准/检定  </w:t>
            </w:r>
            <w:r>
              <w:rPr>
                <w:rFonts w:hint="eastAsia"/>
                <w:highlight w:val="none"/>
                <w:lang w:eastAsia="zh-CN"/>
              </w:rPr>
              <w:t>■</w:t>
            </w:r>
            <w:r>
              <w:rPr>
                <w:rFonts w:hint="eastAsia"/>
                <w:highlight w:val="none"/>
              </w:rPr>
              <w:t>未进行定期校准/检定的有：</w:t>
            </w:r>
            <w:r>
              <w:rPr>
                <w:rFonts w:hint="eastAsia"/>
                <w:color w:val="000000"/>
                <w:highlight w:val="none"/>
                <w:u w:val="single"/>
                <w:lang w:val="en-US" w:eastAsia="zh-CN"/>
              </w:rPr>
              <w:t>钢卷尺、游标卡尺、万能角度尺，已开具不符合报告，需整改。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rPr>
              <w:t>特</w:t>
            </w:r>
            <w:r>
              <w:rPr>
                <w:rFonts w:hint="eastAsia"/>
                <w:highlight w:val="none"/>
              </w:rPr>
              <w:t>种作业人员：</w:t>
            </w:r>
            <w:r>
              <w:rPr>
                <w:rFonts w:hint="eastAsia"/>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其他</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highlight w:val="red"/>
              </w:rPr>
            </w:pPr>
            <w:r>
              <w:rPr>
                <w:rFonts w:hint="eastAsia" w:ascii="Times New Roman" w:hAnsi="Times New Roman" w:cs="Times New Roman"/>
              </w:rPr>
              <w:t>审核期间内设计和开发新产品/项目名称：</w:t>
            </w:r>
            <w:r>
              <w:rPr>
                <w:rFonts w:hint="eastAsia" w:ascii="Times New Roman" w:hAnsi="Times New Roman" w:cs="Times New Roman"/>
                <w:lang w:val="en-US" w:eastAsia="zh-CN"/>
              </w:rPr>
              <w:t xml:space="preserve">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lang w:eastAsia="zh-CN"/>
              </w:rPr>
              <w:t>□</w:t>
            </w:r>
            <w:r>
              <w:rPr>
                <w:rFonts w:hint="eastAsia"/>
              </w:rPr>
              <w:t>其他</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sz w:val="21"/>
                      <w:szCs w:val="21"/>
                      <w:highlight w:val="red"/>
                      <w:u w:val="none"/>
                    </w:rPr>
                  </w:pPr>
                  <w:r>
                    <w:rPr>
                      <w:sz w:val="21"/>
                      <w:szCs w:val="21"/>
                      <w:u w:val="none"/>
                    </w:rPr>
                    <w:t>金属结构件加工（需资质的除外）</w:t>
                  </w:r>
                </w:p>
              </w:tc>
              <w:tc>
                <w:tcPr>
                  <w:tcW w:w="3665" w:type="dxa"/>
                  <w:vAlign w:val="top"/>
                </w:tcPr>
                <w:p>
                  <w:pPr>
                    <w:shd w:val="clear" w:color="auto" w:fill="C7DAF1" w:themeFill="text2" w:themeFillTint="32"/>
                    <w:jc w:val="left"/>
                    <w:rPr>
                      <w:rFonts w:hint="default" w:eastAsia="宋体"/>
                      <w:sz w:val="21"/>
                      <w:szCs w:val="21"/>
                      <w:highlight w:val="red"/>
                      <w:u w:val="none"/>
                      <w:lang w:val="en-US" w:eastAsia="zh-CN"/>
                    </w:rPr>
                  </w:pPr>
                  <w:r>
                    <w:rPr>
                      <w:rFonts w:hint="eastAsia"/>
                      <w:color w:val="000000"/>
                      <w:sz w:val="21"/>
                      <w:szCs w:val="21"/>
                      <w:u w:val="none"/>
                      <w:lang w:val="en-US" w:eastAsia="zh-CN"/>
                    </w:rPr>
                    <w:t>折弯成型、焊接</w:t>
                  </w:r>
                  <w:r>
                    <w:rPr>
                      <w:rFonts w:hint="eastAsia" w:ascii="Times New Roman" w:hAnsi="Times New Roman" w:eastAsia="宋体" w:cs="Times New Roman"/>
                      <w:color w:val="000000"/>
                      <w:sz w:val="21"/>
                      <w:szCs w:val="21"/>
                      <w:u w:val="none"/>
                      <w:lang w:val="en-US" w:eastAsia="zh-CN"/>
                    </w:rPr>
                    <w:t>工序</w:t>
                  </w:r>
                </w:p>
              </w:tc>
              <w:tc>
                <w:tcPr>
                  <w:tcW w:w="3265" w:type="dxa"/>
                  <w:vAlign w:val="top"/>
                </w:tcPr>
                <w:p>
                  <w:pPr>
                    <w:shd w:val="clear" w:color="auto" w:fill="C7DAF1" w:themeFill="text2" w:themeFillTint="32"/>
                    <w:jc w:val="left"/>
                    <w:rPr>
                      <w:rFonts w:hint="default" w:eastAsiaTheme="minorEastAsia"/>
                      <w:sz w:val="21"/>
                      <w:szCs w:val="21"/>
                      <w:highlight w:val="red"/>
                      <w:u w:val="none"/>
                      <w:lang w:val="en-US" w:eastAsia="zh-CN"/>
                    </w:rPr>
                  </w:pPr>
                  <w:r>
                    <w:rPr>
                      <w:rFonts w:hint="eastAsia"/>
                      <w:color w:val="000000"/>
                      <w:sz w:val="21"/>
                      <w:szCs w:val="21"/>
                      <w:u w:val="none"/>
                      <w:lang w:val="en-US" w:eastAsia="zh-CN"/>
                    </w:rPr>
                    <w:t>外观质量、尺寸精度、焊接牢固度</w:t>
                  </w:r>
                  <w:r>
                    <w:rPr>
                      <w:rFonts w:hint="eastAsia" w:ascii="Times New Roman" w:hAnsi="Times New Roman" w:cs="Times New Roman"/>
                      <w:color w:val="000000"/>
                      <w:sz w:val="21"/>
                      <w:szCs w:val="21"/>
                      <w:u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highlight w:val="none"/>
              </w:rPr>
            </w:pPr>
            <w:r>
              <w:rPr>
                <w:rFonts w:hint="eastAsia"/>
                <w:highlight w:val="none"/>
              </w:rPr>
              <w:t>需要确认的过程：</w:t>
            </w:r>
            <w:r>
              <w:rPr>
                <w:rFonts w:hint="eastAsia"/>
                <w:highlight w:val="none"/>
                <w:u w:val="none"/>
              </w:rPr>
              <w:t xml:space="preserve"> </w:t>
            </w:r>
            <w:r>
              <w:rPr>
                <w:rFonts w:hint="eastAsia"/>
                <w:color w:val="000000"/>
                <w:u w:val="single"/>
                <w:lang w:val="en-US" w:eastAsia="zh-CN"/>
              </w:rPr>
              <w:t>焊接过程；喷塑过程（该过程为外包，按供方控制程序进行控制）</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最终检验</w:t>
            </w:r>
            <w:r>
              <w:rPr>
                <w:rFonts w:hint="eastAsia"/>
                <w:highlight w:val="none"/>
              </w:rPr>
              <w:t xml:space="preserve"> </w:t>
            </w:r>
            <w:r>
              <w:rPr>
                <w:rFonts w:hint="eastAsia" w:ascii="Wingdings" w:hAnsi="Wingdings"/>
                <w:highlight w:val="none"/>
                <w:lang w:eastAsia="zh-CN"/>
              </w:rPr>
              <w:t>□</w:t>
            </w:r>
            <w:r>
              <w:rPr>
                <w:rFonts w:hint="eastAsia"/>
                <w:highlight w:val="none"/>
              </w:rPr>
              <w:t xml:space="preserve">型式检验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heme="minorEastAsia" w:hAnsiTheme="minorEastAsia" w:eastAsiaTheme="minorEastAsia"/>
                <w:b w:val="0"/>
                <w:bCs/>
                <w:color w:val="000000"/>
                <w:szCs w:val="21"/>
                <w:u w:val="single"/>
              </w:rPr>
              <w:t>202</w:t>
            </w:r>
            <w:r>
              <w:rPr>
                <w:rFonts w:hint="eastAsia" w:asciiTheme="minorEastAsia" w:hAnsiTheme="minorEastAsia" w:eastAsiaTheme="minorEastAsia"/>
                <w:b w:val="0"/>
                <w:bCs/>
                <w:color w:val="000000"/>
                <w:szCs w:val="21"/>
                <w:u w:val="single"/>
                <w:lang w:val="en-US" w:eastAsia="zh-CN"/>
              </w:rPr>
              <w:t>2</w:t>
            </w:r>
            <w:r>
              <w:rPr>
                <w:rFonts w:hint="eastAsia" w:asciiTheme="minorEastAsia" w:hAnsiTheme="minorEastAsia" w:eastAsiaTheme="minorEastAsia"/>
                <w:b w:val="0"/>
                <w:bCs/>
                <w:color w:val="000000"/>
                <w:szCs w:val="21"/>
                <w:u w:val="single"/>
              </w:rPr>
              <w:t>年</w:t>
            </w:r>
            <w:r>
              <w:rPr>
                <w:rFonts w:hint="eastAsia" w:asciiTheme="minorEastAsia" w:hAnsiTheme="minorEastAsia" w:eastAsiaTheme="minorEastAsia"/>
                <w:b w:val="0"/>
                <w:bCs/>
                <w:color w:val="000000"/>
                <w:szCs w:val="21"/>
                <w:u w:val="single"/>
                <w:lang w:val="en-US" w:eastAsia="zh-CN"/>
              </w:rPr>
              <w:t>12</w:t>
            </w:r>
            <w:r>
              <w:rPr>
                <w:rFonts w:hint="eastAsia" w:asciiTheme="minorEastAsia" w:hAnsiTheme="minorEastAsia" w:eastAsiaTheme="minorEastAsia"/>
                <w:b w:val="0"/>
                <w:bCs/>
                <w:color w:val="000000"/>
                <w:szCs w:val="21"/>
                <w:u w:val="single"/>
              </w:rPr>
              <w:t>月</w:t>
            </w:r>
            <w:r>
              <w:rPr>
                <w:rFonts w:hint="eastAsia" w:asciiTheme="minorEastAsia" w:hAnsiTheme="minorEastAsia" w:eastAsiaTheme="minorEastAsia"/>
                <w:b w:val="0"/>
                <w:bCs/>
                <w:color w:val="000000"/>
                <w:szCs w:val="21"/>
                <w:u w:val="single"/>
                <w:lang w:val="en-US" w:eastAsia="zh-CN"/>
              </w:rPr>
              <w:t>6</w:t>
            </w:r>
            <w:r>
              <w:rPr>
                <w:rFonts w:hint="eastAsia" w:asciiTheme="minorEastAsia" w:hAnsiTheme="minorEastAsia" w:eastAsiaTheme="minorEastAsia"/>
                <w:b w:val="0"/>
                <w:bCs/>
                <w:color w:val="000000"/>
                <w:szCs w:val="21"/>
                <w:u w:val="single"/>
              </w:rPr>
              <w:t>日</w:t>
            </w:r>
            <w:r>
              <w:rPr>
                <w:rFonts w:hint="eastAsia"/>
              </w:rPr>
              <w:t>实施了质量管理体系内部审核，对质量管理体系的符合性和有效性进行了审核。内审发现</w:t>
            </w:r>
            <w:r>
              <w:rPr>
                <w:rFonts w:hint="eastAsia"/>
                <w:highlight w:val="none"/>
              </w:rPr>
              <w:t xml:space="preserve">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asciiTheme="minorEastAsia" w:hAnsiTheme="minorEastAsia" w:eastAsiaTheme="minorEastAsia"/>
                <w:b w:val="0"/>
                <w:bCs/>
                <w:color w:val="000000"/>
                <w:szCs w:val="21"/>
                <w:u w:val="single"/>
              </w:rPr>
              <w:t>202</w:t>
            </w:r>
            <w:r>
              <w:rPr>
                <w:rFonts w:hint="eastAsia" w:asciiTheme="minorEastAsia" w:hAnsiTheme="minorEastAsia" w:eastAsiaTheme="minorEastAsia"/>
                <w:b w:val="0"/>
                <w:bCs/>
                <w:color w:val="000000"/>
                <w:szCs w:val="21"/>
                <w:u w:val="single"/>
                <w:lang w:val="en-US" w:eastAsia="zh-CN"/>
              </w:rPr>
              <w:t>2</w:t>
            </w:r>
            <w:r>
              <w:rPr>
                <w:rFonts w:hint="eastAsia" w:asciiTheme="minorEastAsia" w:hAnsiTheme="minorEastAsia" w:eastAsiaTheme="minorEastAsia"/>
                <w:b w:val="0"/>
                <w:bCs/>
                <w:color w:val="000000"/>
                <w:szCs w:val="21"/>
                <w:u w:val="single"/>
              </w:rPr>
              <w:t>年</w:t>
            </w:r>
            <w:r>
              <w:rPr>
                <w:rFonts w:hint="eastAsia" w:asciiTheme="minorEastAsia" w:hAnsiTheme="minorEastAsia" w:eastAsiaTheme="minorEastAsia"/>
                <w:b w:val="0"/>
                <w:bCs/>
                <w:color w:val="000000"/>
                <w:szCs w:val="21"/>
                <w:u w:val="single"/>
                <w:lang w:val="en-US" w:eastAsia="zh-CN"/>
              </w:rPr>
              <w:t>12</w:t>
            </w:r>
            <w:r>
              <w:rPr>
                <w:rFonts w:hint="eastAsia" w:asciiTheme="minorEastAsia" w:hAnsiTheme="minorEastAsia" w:eastAsiaTheme="minorEastAsia"/>
                <w:b w:val="0"/>
                <w:bCs/>
                <w:color w:val="000000"/>
                <w:szCs w:val="21"/>
                <w:u w:val="single"/>
              </w:rPr>
              <w:t>月</w:t>
            </w:r>
            <w:r>
              <w:rPr>
                <w:rFonts w:hint="eastAsia" w:asciiTheme="minorEastAsia" w:hAnsiTheme="minorEastAsia" w:eastAsiaTheme="minorEastAsia"/>
                <w:b w:val="0"/>
                <w:bCs/>
                <w:color w:val="000000"/>
                <w:szCs w:val="21"/>
                <w:u w:val="single"/>
                <w:lang w:val="en-US" w:eastAsia="zh-CN"/>
              </w:rPr>
              <w:t>18</w:t>
            </w:r>
            <w:r>
              <w:rPr>
                <w:rFonts w:hint="eastAsia" w:asciiTheme="minorEastAsia" w:hAnsiTheme="minorEastAsia" w:eastAsiaTheme="minorEastAsia"/>
                <w:b w:val="0"/>
                <w:bCs/>
                <w:color w:val="000000"/>
                <w:szCs w:val="21"/>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宋体" w:hAnsi="宋体" w:cs="宋体"/>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4</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36040448"/>
    <w:rsid w:val="46367469"/>
    <w:rsid w:val="4C2D6256"/>
    <w:rsid w:val="67F51EC8"/>
    <w:rsid w:val="69941BF6"/>
    <w:rsid w:val="6A1A7B2E"/>
    <w:rsid w:val="78444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8223</Words>
  <Characters>8784</Characters>
  <Lines>150</Lines>
  <Paragraphs>42</Paragraphs>
  <TotalTime>1</TotalTime>
  <ScaleCrop>false</ScaleCrop>
  <LinksUpToDate>false</LinksUpToDate>
  <CharactersWithSpaces>9652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2023-02-14T06:19:33Z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