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0028-2023-Q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江苏有亩田科技有限公司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江苏有亩田科技有限公司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南京市高淳区经济开发区双高路86号标准厂房一期17号厂房第二层</w:t>
            </w:r>
            <w:bookmarkEnd w:id="6"/>
          </w:p>
        </w:tc>
        <w:tc>
          <w:tcPr>
            <w:tcW w:w="1242" w:type="dxa"/>
            <w:vMerge w:val="restart"/>
            <w:vAlign w:val="center"/>
          </w:tcPr>
          <w:p>
            <w:r>
              <w:rPr>
                <w:rFonts w:hint="eastAsia"/>
              </w:rPr>
              <w:t>邮编</w:t>
            </w:r>
          </w:p>
        </w:tc>
        <w:tc>
          <w:tcPr>
            <w:tcW w:w="1771" w:type="dxa"/>
          </w:tcPr>
          <w:p>
            <w:bookmarkStart w:id="7" w:name="注册邮编"/>
            <w:r>
              <w:t>211316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南京市高淳区经济开发区双高路86号标准厂房一期17号厂房第二层</w:t>
            </w:r>
            <w:bookmarkEnd w:id="8"/>
          </w:p>
        </w:tc>
        <w:tc>
          <w:tcPr>
            <w:tcW w:w="1242" w:type="dxa"/>
            <w:vMerge w:val="continue"/>
            <w:vAlign w:val="center"/>
          </w:tcPr>
          <w:p/>
        </w:tc>
        <w:tc>
          <w:tcPr>
            <w:tcW w:w="1771" w:type="dxa"/>
          </w:tcPr>
          <w:p>
            <w:bookmarkStart w:id="9" w:name="办公邮编"/>
            <w:r>
              <w:t>211316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周务</w:t>
            </w:r>
            <w:bookmarkEnd w:id="10"/>
          </w:p>
        </w:tc>
        <w:tc>
          <w:tcPr>
            <w:tcW w:w="1313" w:type="dxa"/>
            <w:vAlign w:val="center"/>
          </w:tcPr>
          <w:p>
            <w:r>
              <w:rPr>
                <w:rFonts w:hint="eastAsia"/>
              </w:rPr>
              <w:t>电话.</w:t>
            </w:r>
          </w:p>
        </w:tc>
        <w:tc>
          <w:tcPr>
            <w:tcW w:w="2180" w:type="dxa"/>
            <w:vAlign w:val="center"/>
          </w:tcPr>
          <w:p>
            <w:bookmarkStart w:id="11" w:name="联系人电话"/>
            <w:r>
              <w:t>13057597955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周金华</w:t>
            </w:r>
            <w:bookmarkEnd w:id="13"/>
          </w:p>
        </w:tc>
        <w:tc>
          <w:tcPr>
            <w:tcW w:w="1313" w:type="dxa"/>
            <w:vAlign w:val="center"/>
          </w:tcPr>
          <w:p>
            <w:r>
              <w:rPr>
                <w:rFonts w:hint="eastAsia"/>
              </w:rPr>
              <w:t>管理者代表</w:t>
            </w:r>
          </w:p>
        </w:tc>
        <w:tc>
          <w:tcPr>
            <w:tcW w:w="2180" w:type="dxa"/>
          </w:tcPr>
          <w:p>
            <w:bookmarkStart w:id="14" w:name="管理者代表"/>
            <w:r>
              <w:t>杨瑞</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auto"/>
                <w:highlight w:val="none"/>
              </w:rPr>
            </w:pPr>
            <w:r>
              <w:rPr>
                <w:rFonts w:hint="eastAsia"/>
                <w:color w:val="auto"/>
                <w:highlight w:val="none"/>
              </w:rPr>
              <w:t>多班次说明</w:t>
            </w:r>
          </w:p>
        </w:tc>
        <w:tc>
          <w:tcPr>
            <w:tcW w:w="8058" w:type="dxa"/>
            <w:gridSpan w:val="5"/>
            <w:shd w:val="clear" w:color="auto" w:fill="auto"/>
          </w:tcPr>
          <w:p>
            <w:pPr>
              <w:rPr>
                <w:color w:val="auto"/>
                <w:highlight w:val="none"/>
              </w:rPr>
            </w:pPr>
            <w:r>
              <w:rPr>
                <w:rFonts w:hint="eastAsia"/>
                <w:color w:val="auto"/>
                <w:highlight w:val="none"/>
              </w:rPr>
              <w:t>受审核组织的班次：□单班□双班□三班□其他</w:t>
            </w:r>
          </w:p>
          <w:p>
            <w:pPr>
              <w:rPr>
                <w:color w:val="auto"/>
                <w:highlight w:val="none"/>
              </w:rPr>
            </w:pPr>
            <w:r>
              <w:rPr>
                <w:rFonts w:hint="eastAsia"/>
                <w:color w:val="auto"/>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spacing w:line="280" w:lineRule="exact"/>
            </w:pPr>
            <w:r>
              <w:rPr>
                <w:rFonts w:hint="eastAsia"/>
                <w:color w:val="000000"/>
                <w:lang w:val="en-US" w:eastAsia="zh-CN"/>
              </w:rPr>
              <w:t>进料检验→预加工→插线/打胶/装配→组装→测试（老化）→检验→包装入库</w:t>
            </w:r>
          </w:p>
        </w:tc>
      </w:tr>
    </w:tbl>
    <w:p/>
    <w:p>
      <w:r>
        <w:rPr>
          <w:rFonts w:hint="eastAsia"/>
        </w:rPr>
        <w:t>二、本次审核信息</w:t>
      </w: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2023年02月14日 下午至2023年02月15日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jc w:val="center"/>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jc w:val="center"/>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jc w:val="center"/>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en-US"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szCs w:val="21"/>
                <w:lang w:val="en-US"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jc w:val="center"/>
        </w:trPr>
        <w:tc>
          <w:tcPr>
            <w:tcW w:w="1632" w:type="dxa"/>
            <w:gridSpan w:val="2"/>
          </w:tcPr>
          <w:p>
            <w:pPr>
              <w:tabs>
                <w:tab w:val="left" w:pos="4285"/>
              </w:tabs>
              <w:rPr>
                <w:rFonts w:cs="Arial"/>
                <w:b/>
                <w:bCs/>
                <w:color w:val="auto"/>
                <w:szCs w:val="21"/>
              </w:rPr>
            </w:pPr>
            <w:r>
              <w:rPr>
                <w:rFonts w:hint="eastAsia" w:cs="Arial"/>
                <w:b/>
                <w:bCs/>
                <w:color w:val="auto"/>
                <w:szCs w:val="21"/>
              </w:rPr>
              <w:t>审核地址（含远程）</w:t>
            </w:r>
          </w:p>
        </w:tc>
        <w:tc>
          <w:tcPr>
            <w:tcW w:w="7831" w:type="dxa"/>
            <w:gridSpan w:val="3"/>
            <w:tcMar>
              <w:left w:w="113" w:type="dxa"/>
            </w:tcMar>
          </w:tcPr>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1632" w:type="dxa"/>
            <w:gridSpan w:val="2"/>
          </w:tcPr>
          <w:p>
            <w:pPr>
              <w:rPr>
                <w:rFonts w:ascii="宋体"/>
                <w:b/>
                <w:color w:val="auto"/>
                <w:szCs w:val="21"/>
              </w:rPr>
            </w:pPr>
            <w:r>
              <w:rPr>
                <w:rFonts w:hint="eastAsia" w:ascii="宋体"/>
                <w:b/>
                <w:color w:val="auto"/>
                <w:szCs w:val="21"/>
              </w:rPr>
              <w:t>远程审核方式</w:t>
            </w:r>
          </w:p>
        </w:tc>
        <w:tc>
          <w:tcPr>
            <w:tcW w:w="7831" w:type="dxa"/>
            <w:gridSpan w:val="3"/>
            <w:tcMar>
              <w:left w:w="113" w:type="dxa"/>
            </w:tcMar>
            <w:vAlign w:val="bottom"/>
          </w:tcPr>
          <w:p>
            <w:pPr>
              <w:rPr>
                <w:rFonts w:ascii="宋体"/>
                <w:b/>
                <w:color w:val="auto"/>
                <w:szCs w:val="21"/>
              </w:rPr>
            </w:pPr>
            <w:r>
              <w:rPr>
                <w:rFonts w:hint="eastAsia" w:ascii="宋体"/>
                <w:b/>
                <w:color w:val="auto"/>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1632" w:type="dxa"/>
            <w:gridSpan w:val="2"/>
          </w:tcPr>
          <w:p>
            <w:pPr>
              <w:rPr>
                <w:rFonts w:ascii="宋体"/>
                <w:b/>
                <w:color w:val="auto"/>
                <w:szCs w:val="21"/>
              </w:rPr>
            </w:pPr>
            <w:r>
              <w:rPr>
                <w:rFonts w:hint="eastAsia" w:ascii="宋体"/>
                <w:b/>
                <w:color w:val="auto"/>
                <w:szCs w:val="21"/>
              </w:rPr>
              <w:t>信息安全的控制</w:t>
            </w:r>
          </w:p>
        </w:tc>
        <w:tc>
          <w:tcPr>
            <w:tcW w:w="7831" w:type="dxa"/>
            <w:gridSpan w:val="3"/>
            <w:tcMar>
              <w:left w:w="113" w:type="dxa"/>
            </w:tcMar>
            <w:vAlign w:val="bottom"/>
          </w:tcPr>
          <w:p>
            <w:pPr>
              <w:rPr>
                <w:rFonts w:ascii="宋体"/>
                <w:b/>
                <w:color w:val="auto"/>
                <w:szCs w:val="21"/>
              </w:rPr>
            </w:pPr>
            <w:r>
              <w:rPr>
                <w:rFonts w:hint="eastAsia" w:ascii="宋体"/>
                <w:b/>
                <w:color w:val="auto"/>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jc w:val="center"/>
        </w:trPr>
        <w:tc>
          <w:tcPr>
            <w:tcW w:w="1632" w:type="dxa"/>
            <w:gridSpan w:val="2"/>
          </w:tcPr>
          <w:p>
            <w:pPr>
              <w:rPr>
                <w:rFonts w:ascii="宋体"/>
                <w:b/>
                <w:color w:val="auto"/>
                <w:szCs w:val="21"/>
              </w:rPr>
            </w:pPr>
            <w:r>
              <w:rPr>
                <w:rFonts w:hint="eastAsia" w:ascii="宋体"/>
                <w:b/>
                <w:color w:val="auto"/>
                <w:szCs w:val="21"/>
              </w:rPr>
              <w:t>远程审核资源</w:t>
            </w:r>
          </w:p>
        </w:tc>
        <w:tc>
          <w:tcPr>
            <w:tcW w:w="7831" w:type="dxa"/>
            <w:gridSpan w:val="3"/>
            <w:tcMar>
              <w:left w:w="113" w:type="dxa"/>
            </w:tcMar>
            <w:vAlign w:val="bottom"/>
          </w:tcPr>
          <w:p>
            <w:pPr>
              <w:rPr>
                <w:rFonts w:ascii="宋体"/>
                <w:b/>
                <w:color w:val="auto"/>
                <w:szCs w:val="21"/>
              </w:rPr>
            </w:pPr>
            <w:r>
              <w:rPr>
                <w:rFonts w:hint="eastAsia" w:ascii="宋体"/>
                <w:b/>
                <w:color w:val="auto"/>
                <w:szCs w:val="21"/>
              </w:rPr>
              <w:t>□网络□智能手机□手持设备□笔记本电脑□台式电脑□无人机□摄像机□可穿戴技术□人工智能□其他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电动滑板车的设计及生产（仅限出口）</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23.05.00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en-US"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871"/>
        <w:gridCol w:w="16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871" w:type="dxa"/>
            <w:shd w:val="clear" w:color="auto" w:fill="F3F3F3"/>
            <w:tcMar>
              <w:left w:w="57" w:type="dxa"/>
              <w:right w:w="57" w:type="dxa"/>
            </w:tcMar>
          </w:tcPr>
          <w:p>
            <w:r>
              <w:rPr>
                <w:rFonts w:hint="eastAsia"/>
              </w:rPr>
              <w:t>审核范围（产品和过程）</w:t>
            </w:r>
          </w:p>
          <w:p/>
          <w:p/>
        </w:tc>
        <w:tc>
          <w:tcPr>
            <w:tcW w:w="16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center"/>
          </w:tcPr>
          <w:p>
            <w:pPr>
              <w:jc w:val="both"/>
              <w:rPr>
                <w:rFonts w:hint="eastAsia" w:eastAsia="宋体"/>
                <w:lang w:val="en-US" w:eastAsia="zh-CN"/>
              </w:rPr>
            </w:pPr>
            <w:r>
              <w:t>江苏有亩田科技有限公司</w:t>
            </w:r>
            <w:r>
              <w:rPr>
                <w:rFonts w:hint="eastAsia"/>
                <w:lang w:val="en-US" w:eastAsia="zh-CN"/>
              </w:rPr>
              <w:t>/</w:t>
            </w:r>
            <w:r>
              <w:t>南京市高淳区经济开发区双高路86号标准厂房一期17号厂房第二层</w:t>
            </w:r>
          </w:p>
        </w:tc>
        <w:tc>
          <w:tcPr>
            <w:tcW w:w="2267" w:type="dxa"/>
            <w:vAlign w:val="center"/>
          </w:tcPr>
          <w:p>
            <w:pPr>
              <w:jc w:val="both"/>
              <w:rPr>
                <w:lang w:val="de-DE" w:eastAsia="ja-JP"/>
              </w:rPr>
            </w:pPr>
            <w:r>
              <w:t>南京市高淳区经济开发区双高路86号标准厂房一期17号厂房第二层</w:t>
            </w:r>
          </w:p>
        </w:tc>
        <w:tc>
          <w:tcPr>
            <w:tcW w:w="571" w:type="dxa"/>
            <w:vAlign w:val="center"/>
          </w:tcPr>
          <w:p>
            <w:pPr>
              <w:jc w:val="both"/>
              <w:rPr>
                <w:rFonts w:hint="default" w:eastAsia="宋体"/>
                <w:lang w:val="en-US" w:eastAsia="zh-CN"/>
              </w:rPr>
            </w:pPr>
            <w:r>
              <w:rPr>
                <w:rFonts w:hint="eastAsia"/>
                <w:lang w:val="en-US" w:eastAsia="zh-CN"/>
              </w:rPr>
              <w:t>21</w:t>
            </w:r>
          </w:p>
        </w:tc>
        <w:tc>
          <w:tcPr>
            <w:tcW w:w="1871" w:type="dxa"/>
            <w:vAlign w:val="center"/>
          </w:tcPr>
          <w:p>
            <w:pPr>
              <w:jc w:val="both"/>
              <w:rPr>
                <w:lang w:eastAsia="ja-JP"/>
              </w:rPr>
            </w:pPr>
            <w:r>
              <w:rPr>
                <w:sz w:val="21"/>
                <w:szCs w:val="21"/>
              </w:rPr>
              <w:t>电动滑板车的设计及生产（仅限出口）</w:t>
            </w:r>
          </w:p>
        </w:tc>
        <w:tc>
          <w:tcPr>
            <w:tcW w:w="1601" w:type="dxa"/>
            <w:vAlign w:val="center"/>
          </w:tcPr>
          <w:p>
            <w:pPr>
              <w:jc w:val="both"/>
              <w:rPr>
                <w:rFonts w:hint="default" w:eastAsia="宋体"/>
                <w:lang w:val="en-US" w:eastAsia="zh-CN"/>
              </w:rPr>
            </w:pPr>
            <w:r>
              <w:rPr>
                <w:rFonts w:hint="eastAsia"/>
                <w:lang w:val="en-US" w:eastAsia="zh-CN"/>
              </w:rPr>
              <w:t>GB/T 19001-2016</w:t>
            </w:r>
          </w:p>
        </w:tc>
        <w:tc>
          <w:tcPr>
            <w:tcW w:w="668" w:type="dxa"/>
            <w:shd w:val="clear" w:color="auto" w:fill="FFFFFF"/>
            <w:vAlign w:val="center"/>
          </w:tcPr>
          <w:p>
            <w:pPr>
              <w:jc w:val="both"/>
              <w:rPr>
                <w:rFonts w:hint="eastAsia" w:eastAsia="宋体"/>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871" w:type="dxa"/>
            <w:vAlign w:val="center"/>
          </w:tcPr>
          <w:p>
            <w:pPr>
              <w:rPr>
                <w:lang w:eastAsia="ja-JP"/>
              </w:rPr>
            </w:pPr>
          </w:p>
        </w:tc>
        <w:tc>
          <w:tcPr>
            <w:tcW w:w="16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871" w:type="dxa"/>
            <w:vAlign w:val="center"/>
          </w:tcPr>
          <w:p>
            <w:pPr>
              <w:rPr>
                <w:lang w:eastAsia="ja-JP"/>
              </w:rPr>
            </w:pPr>
          </w:p>
        </w:tc>
        <w:tc>
          <w:tcPr>
            <w:tcW w:w="16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871" w:type="dxa"/>
            <w:vAlign w:val="center"/>
          </w:tcPr>
          <w:p>
            <w:pPr>
              <w:rPr>
                <w:lang w:eastAsia="ja-JP"/>
              </w:rPr>
            </w:pPr>
          </w:p>
        </w:tc>
        <w:tc>
          <w:tcPr>
            <w:tcW w:w="16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871" w:type="dxa"/>
            <w:vAlign w:val="center"/>
          </w:tcPr>
          <w:p>
            <w:pPr>
              <w:rPr>
                <w:lang w:eastAsia="ja-JP"/>
              </w:rPr>
            </w:pPr>
          </w:p>
        </w:tc>
        <w:tc>
          <w:tcPr>
            <w:tcW w:w="160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1" w:type="dxa"/>
          </w:tcPr>
          <w:p>
            <w:r>
              <w:rPr>
                <w:rFonts w:hint="eastAsia"/>
                <w:lang w:val="en-US"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748" w:type="dxa"/>
            <w:vAlign w:val="center"/>
          </w:tcPr>
          <w:p>
            <w:r>
              <w:t>王献华</w:t>
            </w:r>
          </w:p>
        </w:tc>
        <w:tc>
          <w:tcPr>
            <w:tcW w:w="1089" w:type="dxa"/>
            <w:vAlign w:val="center"/>
          </w:tcPr>
          <w:p>
            <w:r>
              <w:t>组长</w:t>
            </w:r>
          </w:p>
        </w:tc>
        <w:tc>
          <w:tcPr>
            <w:tcW w:w="711" w:type="dxa"/>
            <w:vAlign w:val="center"/>
          </w:tcPr>
          <w:p>
            <w:r>
              <w:t>男</w:t>
            </w:r>
          </w:p>
        </w:tc>
        <w:tc>
          <w:tcPr>
            <w:tcW w:w="3870" w:type="dxa"/>
            <w:vAlign w:val="center"/>
          </w:tcPr>
          <w:p>
            <w:r>
              <w:t>2021-N1QMS-1244982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748" w:type="dxa"/>
            <w:vAlign w:val="center"/>
          </w:tcPr>
          <w:p>
            <w:r>
              <w:t>董艳丹</w:t>
            </w:r>
          </w:p>
        </w:tc>
        <w:tc>
          <w:tcPr>
            <w:tcW w:w="1089" w:type="dxa"/>
            <w:vAlign w:val="center"/>
          </w:tcPr>
          <w:p>
            <w:r>
              <w:t>组员</w:t>
            </w:r>
          </w:p>
        </w:tc>
        <w:tc>
          <w:tcPr>
            <w:tcW w:w="711" w:type="dxa"/>
            <w:vAlign w:val="center"/>
          </w:tcPr>
          <w:p>
            <w:r>
              <w:t>女</w:t>
            </w:r>
          </w:p>
        </w:tc>
        <w:tc>
          <w:tcPr>
            <w:tcW w:w="3870" w:type="dxa"/>
            <w:vAlign w:val="center"/>
          </w:tcPr>
          <w:p>
            <w:r>
              <w:t>ISC-JSZJ-608</w:t>
            </w:r>
          </w:p>
          <w:p>
            <w:r>
              <w:t>南京通辉电动车厂</w:t>
            </w:r>
          </w:p>
        </w:tc>
        <w:tc>
          <w:tcPr>
            <w:tcW w:w="2179" w:type="dxa"/>
            <w:vAlign w:val="center"/>
          </w:tcPr>
          <w:p>
            <w:r>
              <w:t>23.05.00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en-US"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val="en-US"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无相关事故、投诉记录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en-US"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Spec="center" w:tblpY="5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Spec="center" w:tblpY="120"/>
        <w:tblOverlap w:val="neve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en-US"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val="en-US" w:eastAsia="zh-CN"/>
              </w:rPr>
              <w:t>■</w:t>
            </w:r>
            <w:r>
              <w:rPr>
                <w:rFonts w:hint="eastAsia"/>
              </w:rPr>
              <w:t>推荐认证注册(</w:t>
            </w:r>
            <w:r>
              <w:rPr>
                <w:rFonts w:hint="eastAsia"/>
                <w:lang w:val="en-US"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0" w:type="dxa"/>
            <w:shd w:val="clear" w:color="auto" w:fill="auto"/>
            <w:vAlign w:val="center"/>
          </w:tcPr>
          <w:p>
            <w:pPr>
              <w:rPr>
                <w:rFonts w:ascii="宋体"/>
                <w:b/>
                <w:color w:val="auto"/>
                <w:szCs w:val="21"/>
              </w:rPr>
            </w:pPr>
            <w:r>
              <w:rPr>
                <w:rFonts w:hint="eastAsia" w:ascii="宋体"/>
                <w:b/>
                <w:color w:val="auto"/>
                <w:szCs w:val="21"/>
              </w:rPr>
              <w:t>可能降低可靠性的障碍</w:t>
            </w:r>
          </w:p>
        </w:tc>
        <w:tc>
          <w:tcPr>
            <w:tcW w:w="8350" w:type="dxa"/>
            <w:gridSpan w:val="2"/>
            <w:shd w:val="clear" w:color="auto" w:fill="auto"/>
            <w:vAlign w:val="center"/>
          </w:tcPr>
          <w:p>
            <w:pPr>
              <w:rPr>
                <w:rFonts w:ascii="宋体"/>
                <w:b/>
                <w:color w:val="auto"/>
                <w:szCs w:val="21"/>
              </w:rPr>
            </w:pPr>
            <w:r>
              <w:rPr>
                <w:rFonts w:hint="eastAsia" w:ascii="宋体"/>
                <w:b/>
                <w:color w:val="auto"/>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0" w:type="dxa"/>
            <w:shd w:val="clear" w:color="auto" w:fill="auto"/>
            <w:vAlign w:val="center"/>
          </w:tcPr>
          <w:p>
            <w:pPr>
              <w:rPr>
                <w:rFonts w:ascii="宋体"/>
                <w:b/>
                <w:color w:val="auto"/>
                <w:szCs w:val="21"/>
              </w:rPr>
            </w:pPr>
            <w:r>
              <w:rPr>
                <w:rFonts w:hint="eastAsia" w:ascii="宋体"/>
                <w:b/>
                <w:color w:val="auto"/>
                <w:szCs w:val="21"/>
              </w:rPr>
              <w:t>突发事件的情况</w:t>
            </w:r>
          </w:p>
        </w:tc>
        <w:tc>
          <w:tcPr>
            <w:tcW w:w="8350" w:type="dxa"/>
            <w:gridSpan w:val="2"/>
            <w:shd w:val="clear" w:color="auto" w:fill="auto"/>
            <w:vAlign w:val="center"/>
          </w:tcPr>
          <w:p>
            <w:pPr>
              <w:rPr>
                <w:rFonts w:ascii="宋体"/>
                <w:b/>
                <w:color w:val="auto"/>
                <w:szCs w:val="21"/>
              </w:rPr>
            </w:pPr>
            <w:r>
              <w:rPr>
                <w:rFonts w:hint="eastAsia" w:ascii="宋体"/>
                <w:b/>
                <w:color w:val="auto"/>
                <w:szCs w:val="21"/>
              </w:rPr>
              <w:t>□未发生□有发生，说明：</w:t>
            </w:r>
          </w:p>
        </w:tc>
      </w:tr>
    </w:tbl>
    <w:tbl>
      <w:tblPr>
        <w:tblStyle w:val="8"/>
        <w:tblW w:w="10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9"/>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69" w:type="dxa"/>
            <w:vAlign w:val="center"/>
          </w:tcPr>
          <w:p>
            <w:pPr>
              <w:rPr>
                <w:rFonts w:ascii="宋体"/>
                <w:b/>
                <w:color w:val="auto"/>
                <w:szCs w:val="21"/>
              </w:rPr>
            </w:pPr>
            <w:r>
              <w:rPr>
                <w:rFonts w:hint="eastAsia" w:ascii="宋体"/>
                <w:b/>
                <w:color w:val="auto"/>
                <w:szCs w:val="21"/>
              </w:rPr>
              <w:t>突发事件的处置措施</w:t>
            </w:r>
          </w:p>
        </w:tc>
        <w:tc>
          <w:tcPr>
            <w:tcW w:w="8294" w:type="dxa"/>
            <w:gridSpan w:val="3"/>
            <w:tcMar>
              <w:left w:w="113" w:type="dxa"/>
            </w:tcMar>
            <w:vAlign w:val="center"/>
          </w:tcPr>
          <w:p>
            <w:pPr>
              <w:rPr>
                <w:rFonts w:ascii="宋体"/>
                <w:b/>
                <w:color w:val="auto"/>
                <w:szCs w:val="21"/>
              </w:rPr>
            </w:pPr>
            <w:r>
              <w:rPr>
                <w:rFonts w:hint="eastAsia" w:ascii="宋体"/>
                <w:b/>
                <w:color w:val="auto"/>
                <w:szCs w:val="21"/>
              </w:rPr>
              <w:t>□中止审核□终止审核□延迟审核□改为现场审核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69" w:type="dxa"/>
            <w:vMerge w:val="restart"/>
            <w:vAlign w:val="center"/>
          </w:tcPr>
          <w:p>
            <w:pPr>
              <w:rPr>
                <w:rFonts w:ascii="宋体"/>
                <w:b/>
                <w:color w:val="auto"/>
                <w:szCs w:val="21"/>
              </w:rPr>
            </w:pPr>
            <w:r>
              <w:rPr>
                <w:rFonts w:hint="eastAsia"/>
                <w:b/>
                <w:bCs/>
                <w:color w:val="auto"/>
              </w:rPr>
              <w:t>远程审核的有效性评价（适用时）</w:t>
            </w:r>
          </w:p>
        </w:tc>
        <w:tc>
          <w:tcPr>
            <w:tcW w:w="8294" w:type="dxa"/>
            <w:gridSpan w:val="3"/>
            <w:tcMar>
              <w:left w:w="113" w:type="dxa"/>
            </w:tcMar>
          </w:tcPr>
          <w:p>
            <w:pPr>
              <w:spacing w:line="280" w:lineRule="exact"/>
              <w:rPr>
                <w:color w:val="auto"/>
              </w:rPr>
            </w:pPr>
            <w:r>
              <w:rPr>
                <w:rFonts w:hint="eastAsia" w:ascii="宋体" w:hAnsi="宋体"/>
                <w:b/>
                <w:color w:val="auto"/>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69" w:type="dxa"/>
            <w:vMerge w:val="continue"/>
            <w:vAlign w:val="center"/>
          </w:tcPr>
          <w:p>
            <w:pPr>
              <w:rPr>
                <w:rFonts w:ascii="宋体"/>
                <w:b/>
                <w:color w:val="auto"/>
                <w:szCs w:val="21"/>
              </w:rPr>
            </w:pPr>
          </w:p>
        </w:tc>
        <w:tc>
          <w:tcPr>
            <w:tcW w:w="8294" w:type="dxa"/>
            <w:gridSpan w:val="3"/>
            <w:tcMar>
              <w:left w:w="113" w:type="dxa"/>
            </w:tcMar>
          </w:tcPr>
          <w:p>
            <w:pPr>
              <w:spacing w:line="280" w:lineRule="exact"/>
              <w:rPr>
                <w:color w:val="auto"/>
              </w:rPr>
            </w:pPr>
            <w:r>
              <w:rPr>
                <w:rFonts w:hint="eastAsia" w:ascii="宋体" w:hAnsi="宋体"/>
                <w:b/>
                <w:color w:val="auto"/>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9" w:hRule="exact"/>
          <w:jc w:val="center"/>
        </w:trPr>
        <w:tc>
          <w:tcPr>
            <w:tcW w:w="1769" w:type="dxa"/>
          </w:tcPr>
          <w:p>
            <w:r>
              <w:rPr>
                <w:rFonts w:hint="eastAsia"/>
              </w:rPr>
              <w:t>审核组长签字</w:t>
            </w:r>
          </w:p>
        </w:tc>
        <w:tc>
          <w:tcPr>
            <w:tcW w:w="2764" w:type="dxa"/>
            <w:tcMar>
              <w:left w:w="113" w:type="dxa"/>
            </w:tcMar>
          </w:tcPr>
          <w:p>
            <w:pPr>
              <w:rPr>
                <w:rFonts w:hint="eastAsia" w:eastAsia="宋体"/>
                <w:lang w:val="en-US" w:eastAsia="zh-CN"/>
              </w:rPr>
            </w:pPr>
            <w:r>
              <w:rPr>
                <w:rFonts w:hint="eastAsia"/>
                <w:lang w:val="en-US" w:eastAsia="zh-CN"/>
              </w:rPr>
              <w:t>王献华</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2023.2.15</w:t>
            </w:r>
          </w:p>
        </w:tc>
      </w:tr>
    </w:tbl>
    <w:p/>
    <w:p/>
    <w:p>
      <w:r>
        <w:rPr>
          <w:rFonts w:hint="eastAsia"/>
        </w:rPr>
        <w:t>十四、审核报告的发放范围：</w:t>
      </w:r>
    </w:p>
    <w:p>
      <w:r>
        <w:rPr>
          <w:rFonts w:hint="eastAsia"/>
        </w:rPr>
        <w:t>受审核方(含附件)：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sectPr>
          <w:headerReference r:id="rId3" w:type="default"/>
          <w:pgSz w:w="11906" w:h="16838"/>
          <w:pgMar w:top="1440" w:right="1080" w:bottom="1440" w:left="1080" w:header="624" w:footer="992" w:gutter="0"/>
          <w:cols w:space="425" w:num="1"/>
          <w:docGrid w:type="lines" w:linePitch="312" w:charSpace="0"/>
        </w:sect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52"/>
            </w:r>
            <w:r>
              <w:rPr>
                <w:rFonts w:hint="eastAsia"/>
              </w:rPr>
              <w:t>原材料采购</w:t>
            </w:r>
            <w:r>
              <w:rPr>
                <w:rFonts w:hint="eastAsia"/>
              </w:rPr>
              <w:sym w:font="Wingdings 2" w:char="00A3"/>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ascii="宋体" w:hAnsi="宋体" w:cs="宋体"/>
                <w:szCs w:val="21"/>
              </w:rPr>
              <w:t>以顾客为上帝，以质量占市场，以事实作决策，以改进求发展</w:t>
            </w:r>
            <w:r>
              <w:rPr>
                <w:rFonts w:hint="eastAsia" w:ascii="宋体" w:hAnsi="宋体" w:cs="宋体"/>
                <w:szCs w:val="21"/>
                <w:lang w:eastAsia="zh-CN"/>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原材料质控</w:t>
                  </w:r>
                </w:p>
              </w:tc>
              <w:tc>
                <w:tcPr>
                  <w:tcW w:w="3965" w:type="dxa"/>
                </w:tcPr>
                <w:p>
                  <w:pPr>
                    <w:shd w:val="clear" w:color="auto" w:fill="C7DAF1" w:themeFill="text2" w:themeFillTint="32"/>
                    <w:rPr>
                      <w:rFonts w:hint="eastAsia" w:eastAsia="宋体"/>
                      <w:lang w:val="en-US" w:eastAsia="zh-CN"/>
                    </w:rPr>
                  </w:pPr>
                  <w:r>
                    <w:rPr>
                      <w:rFonts w:hint="eastAsia"/>
                      <w:lang w:val="en-US" w:eastAsia="zh-CN"/>
                    </w:rPr>
                    <w:t>进料检验</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组装过程质控</w:t>
                  </w:r>
                </w:p>
              </w:tc>
              <w:tc>
                <w:tcPr>
                  <w:tcW w:w="3965" w:type="dxa"/>
                </w:tcPr>
                <w:p>
                  <w:pPr>
                    <w:shd w:val="clear" w:color="auto" w:fill="C7DAF1" w:themeFill="text2" w:themeFillTint="32"/>
                    <w:rPr>
                      <w:rFonts w:hint="default" w:eastAsia="宋体"/>
                      <w:lang w:val="en-US" w:eastAsia="zh-CN"/>
                    </w:rPr>
                  </w:pPr>
                  <w:r>
                    <w:rPr>
                      <w:rFonts w:hint="eastAsia"/>
                      <w:lang w:val="en-US" w:eastAsia="zh-CN"/>
                    </w:rPr>
                    <w:t>作业指导书/过程检验/成品检验</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91" w:type="dxa"/>
                  <w:shd w:val="clear" w:color="auto" w:fill="auto"/>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质量目标</w:t>
                  </w:r>
                </w:p>
              </w:tc>
              <w:tc>
                <w:tcPr>
                  <w:tcW w:w="3136" w:type="dxa"/>
                  <w:shd w:val="clear" w:color="auto" w:fill="auto"/>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计算方法</w:t>
                  </w:r>
                </w:p>
              </w:tc>
              <w:tc>
                <w:tcPr>
                  <w:tcW w:w="1350" w:type="dxa"/>
                  <w:shd w:val="clear" w:color="auto" w:fill="auto"/>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责任部门</w:t>
                  </w:r>
                </w:p>
              </w:tc>
              <w:tc>
                <w:tcPr>
                  <w:tcW w:w="1774" w:type="dxa"/>
                  <w:shd w:val="clear" w:color="auto" w:fill="auto"/>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lang w:eastAsia="zh-CN"/>
                    </w:rPr>
                    <w:t>产品一次交验合格率</w:t>
                  </w:r>
                  <w:r>
                    <w:rPr>
                      <w:rFonts w:hint="eastAsia" w:ascii="Times New Roman" w:hAnsi="Times New Roman" w:eastAsia="宋体" w:cs="Times New Roman"/>
                    </w:rPr>
                    <w:t>9</w:t>
                  </w:r>
                  <w:r>
                    <w:rPr>
                      <w:rFonts w:hint="eastAsia" w:ascii="Times New Roman" w:hAnsi="Times New Roman" w:eastAsia="宋体" w:cs="Times New Roman"/>
                      <w:lang w:val="en-US" w:eastAsia="zh-CN"/>
                    </w:rPr>
                    <w:t>5</w:t>
                  </w:r>
                  <w:r>
                    <w:rPr>
                      <w:rFonts w:hint="eastAsia" w:ascii="Times New Roman" w:hAnsi="Times New Roman" w:eastAsia="宋体" w:cs="Times New Roman"/>
                    </w:rPr>
                    <w:t>%</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产品校验合格数/产品校验数*100%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生产部</w:t>
                  </w:r>
                </w:p>
              </w:tc>
              <w:tc>
                <w:tcPr>
                  <w:tcW w:w="1774"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lang w:val="en-US" w:eastAsia="zh-CN"/>
                    </w:rPr>
                    <w:t>顾客满意率90%以上</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顾客评价分数/总分*100%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销售部</w:t>
                  </w:r>
                </w:p>
              </w:tc>
              <w:tc>
                <w:tcPr>
                  <w:tcW w:w="1774"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w:t>
            </w:r>
            <w:r>
              <w:rPr>
                <w:rFonts w:hint="eastAsia"/>
                <w:lang w:val="en-US" w:eastAsia="zh-CN"/>
              </w:rPr>
              <w:t>1</w:t>
            </w:r>
            <w:r>
              <w:rPr>
                <w:rFonts w:hint="eastAsia"/>
              </w:rPr>
              <w:t>个；库房</w:t>
            </w:r>
            <w:r>
              <w:rPr>
                <w:rFonts w:hint="eastAsia"/>
                <w:lang w:val="en-US" w:eastAsia="zh-CN"/>
              </w:rPr>
              <w:t>1</w:t>
            </w:r>
            <w:r>
              <w:rPr>
                <w:rFonts w:hint="eastAsia"/>
              </w:rPr>
              <w:t>个；</w:t>
            </w:r>
          </w:p>
          <w:p>
            <w:pPr>
              <w:shd w:val="clear" w:color="auto" w:fill="C7DAF1" w:themeFill="text2" w:themeFillTint="32"/>
              <w:rPr>
                <w:rFonts w:hint="default" w:eastAsia="宋体"/>
                <w:u w:val="single"/>
                <w:lang w:val="en-US" w:eastAsia="zh-CN"/>
              </w:rPr>
            </w:pPr>
            <w:r>
              <w:rPr>
                <w:rFonts w:hint="eastAsia"/>
              </w:rPr>
              <w:t>主要生产设备有：</w:t>
            </w:r>
            <w:r>
              <w:rPr>
                <w:rFonts w:hint="eastAsia"/>
                <w:u w:val="single"/>
                <w:lang w:val="en-US" w:eastAsia="zh-CN"/>
              </w:rPr>
              <w:t>组装线2条等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sym w:font="Wingdings 2" w:char="00A3"/>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rFonts w:hint="default"/>
                <w:u w:val="single"/>
                <w:lang w:val="en-US"/>
              </w:rPr>
            </w:pPr>
            <w:r>
              <w:rPr>
                <w:rFonts w:hint="eastAsia"/>
              </w:rPr>
              <w:t>国家强检的计量器具有：</w:t>
            </w:r>
            <w:r>
              <w:rPr>
                <w:rFonts w:hint="eastAsia"/>
                <w:u w:val="single"/>
                <w:lang w:val="en-US" w:eastAsia="zh-CN"/>
              </w:rPr>
              <w:t>电子秤、数显卡尺等</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A3"/>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default" w:eastAsia="宋体"/>
                <w:lang w:val="en-US" w:eastAsia="zh-CN"/>
              </w:rPr>
            </w:pPr>
            <w:r>
              <w:rPr>
                <w:rFonts w:hint="eastAsia"/>
              </w:rPr>
              <w:t>审核期间内设计和开发新产品/项目名称：</w:t>
            </w:r>
            <w:r>
              <w:rPr>
                <w:rFonts w:hint="eastAsia"/>
                <w:u w:val="single"/>
                <w:lang w:val="en-US" w:eastAsia="zh-CN"/>
              </w:rPr>
              <w:t>6.5寸电动滑板车</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A3"/>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电动滑板车</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组装</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①组装顺序；②电批扭矩</w:t>
                  </w:r>
                </w:p>
              </w:tc>
            </w:tr>
          </w:tbl>
          <w:p>
            <w:pPr>
              <w:shd w:val="clear" w:color="auto" w:fill="C7DAF1" w:themeFill="text2" w:themeFillTint="32"/>
              <w:jc w:val="left"/>
              <w:rPr>
                <w:rFonts w:hint="eastAsia" w:eastAsia="宋体"/>
                <w:lang w:val="en-US" w:eastAsia="zh-CN"/>
              </w:rPr>
            </w:pPr>
            <w:r>
              <w:rPr>
                <w:rFonts w:hint="eastAsia"/>
              </w:rPr>
              <w:t>需要确认的过程：</w:t>
            </w:r>
            <w:r>
              <w:rPr>
                <w:rFonts w:hint="eastAsia"/>
                <w:lang w:val="en-US" w:eastAsia="zh-CN"/>
              </w:rPr>
              <w:t>无</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A3"/>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sym w:font="Wingdings 2" w:char="0052"/>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1</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7</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r>
        <w:br w:type="page"/>
      </w:r>
      <w:bookmarkStart w:id="34" w:name="_GoBack"/>
      <w:bookmarkEnd w:id="34"/>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MxNmFjM2JiM2E0NTA2NDBlNDc5ZjJlODAzODVlOTAifQ=="/>
  </w:docVars>
  <w:rsids>
    <w:rsidRoot w:val="00000000"/>
    <w:rsid w:val="02B82686"/>
    <w:rsid w:val="03EF27C8"/>
    <w:rsid w:val="078A0DF5"/>
    <w:rsid w:val="0A0A57FB"/>
    <w:rsid w:val="0E903615"/>
    <w:rsid w:val="100B1B07"/>
    <w:rsid w:val="199C7AF2"/>
    <w:rsid w:val="1B541017"/>
    <w:rsid w:val="1B7E3953"/>
    <w:rsid w:val="1C67088B"/>
    <w:rsid w:val="22CF2CE6"/>
    <w:rsid w:val="2AC05D36"/>
    <w:rsid w:val="31551F9A"/>
    <w:rsid w:val="381946E1"/>
    <w:rsid w:val="3B533262"/>
    <w:rsid w:val="3CD13DD3"/>
    <w:rsid w:val="3F2A1578"/>
    <w:rsid w:val="42B2733B"/>
    <w:rsid w:val="44B41B7B"/>
    <w:rsid w:val="45045743"/>
    <w:rsid w:val="45851A4C"/>
    <w:rsid w:val="477B0AA3"/>
    <w:rsid w:val="4F473A81"/>
    <w:rsid w:val="50250358"/>
    <w:rsid w:val="53FD6E04"/>
    <w:rsid w:val="5A753B98"/>
    <w:rsid w:val="62F31AFE"/>
    <w:rsid w:val="63DE27AE"/>
    <w:rsid w:val="65A45331"/>
    <w:rsid w:val="6703217D"/>
    <w:rsid w:val="67AF7FBD"/>
    <w:rsid w:val="69D87C9F"/>
    <w:rsid w:val="6D5835D1"/>
    <w:rsid w:val="76B846BC"/>
    <w:rsid w:val="7A7E3F4B"/>
    <w:rsid w:val="7DC11F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TotalTime>1</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wangxianhua</cp:lastModifiedBy>
  <cp:lastPrinted>2019-05-13T03:19:00Z</cp:lastPrinted>
  <dcterms:modified xsi:type="dcterms:W3CDTF">2023-02-18T09:00:54Z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