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0020-2023-QEO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陕西智恒数码科技有限责任公司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陕西智恒数码科技有限责任公司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西安曲江新区雁翔路旺座曲江K座1601</w:t>
            </w:r>
            <w:bookmarkEnd w:id="6"/>
          </w:p>
        </w:tc>
        <w:tc>
          <w:tcPr>
            <w:tcW w:w="1242" w:type="dxa"/>
            <w:vMerge w:val="restart"/>
            <w:vAlign w:val="center"/>
          </w:tcPr>
          <w:p>
            <w:r>
              <w:rPr>
                <w:rFonts w:hint="eastAsia"/>
              </w:rPr>
              <w:t>邮编</w:t>
            </w:r>
          </w:p>
        </w:tc>
        <w:tc>
          <w:tcPr>
            <w:tcW w:w="1771" w:type="dxa"/>
          </w:tcPr>
          <w:p>
            <w:bookmarkStart w:id="7" w:name="注册邮编"/>
            <w:r>
              <w:t>710068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西安曲江新区雁翔路旺座曲江K座1601</w:t>
            </w:r>
            <w:bookmarkEnd w:id="8"/>
          </w:p>
        </w:tc>
        <w:tc>
          <w:tcPr>
            <w:tcW w:w="1242" w:type="dxa"/>
            <w:vMerge w:val="continue"/>
            <w:vAlign w:val="center"/>
          </w:tcPr>
          <w:p/>
        </w:tc>
        <w:tc>
          <w:tcPr>
            <w:tcW w:w="1771" w:type="dxa"/>
          </w:tcPr>
          <w:p>
            <w:bookmarkStart w:id="9" w:name="办公邮编"/>
            <w:r>
              <w:t>710068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王小娇</w:t>
            </w:r>
            <w:bookmarkEnd w:id="10"/>
          </w:p>
        </w:tc>
        <w:tc>
          <w:tcPr>
            <w:tcW w:w="1313" w:type="dxa"/>
            <w:vAlign w:val="center"/>
          </w:tcPr>
          <w:p>
            <w:r>
              <w:rPr>
                <w:rFonts w:hint="eastAsia"/>
              </w:rPr>
              <w:t>电话.</w:t>
            </w:r>
          </w:p>
        </w:tc>
        <w:tc>
          <w:tcPr>
            <w:tcW w:w="2180" w:type="dxa"/>
            <w:vAlign w:val="center"/>
          </w:tcPr>
          <w:p>
            <w:bookmarkStart w:id="11" w:name="联系人电话"/>
            <w:r>
              <w:t>18429002890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王卫军</w:t>
            </w:r>
            <w:bookmarkEnd w:id="13"/>
          </w:p>
        </w:tc>
        <w:tc>
          <w:tcPr>
            <w:tcW w:w="1313" w:type="dxa"/>
            <w:vAlign w:val="center"/>
          </w:tcPr>
          <w:p>
            <w:r>
              <w:rPr>
                <w:rFonts w:hint="eastAsia"/>
              </w:rPr>
              <w:t>管理者代表</w:t>
            </w:r>
          </w:p>
        </w:tc>
        <w:tc>
          <w:tcPr>
            <w:tcW w:w="2180" w:type="dxa"/>
          </w:tcPr>
          <w:p>
            <w:bookmarkStart w:id="14" w:name="管理者代表"/>
            <w:r>
              <w:t>王小娇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1、软件开发：沟通了解客户需求→制定计划→签订合同→可行性分析和项目开发计划→需求分析→概要设计→详细设计→编码→测试→交付客户</w:t>
            </w:r>
          </w:p>
          <w:p>
            <w:pPr>
              <w:rPr>
                <w:rFonts w:hint="eastAsia"/>
              </w:rPr>
            </w:pPr>
            <w:r>
              <w:rPr>
                <w:rFonts w:hint="eastAsia"/>
              </w:rPr>
              <w:t>2、信息系统集成：</w:t>
            </w:r>
          </w:p>
          <w:p>
            <w:pPr>
              <w:rPr>
                <w:rFonts w:hint="eastAsia"/>
              </w:rPr>
            </w:pPr>
            <w:r>
              <w:rPr>
                <w:rFonts w:hint="eastAsia"/>
              </w:rPr>
              <w:t>市场调研→与顾客接触→合同评审→签订合同→采购→安装→验收→交付→售后服务</w:t>
            </w:r>
          </w:p>
          <w:p>
            <w:pPr>
              <w:rPr>
                <w:rFonts w:hint="eastAsia"/>
              </w:rPr>
            </w:pPr>
            <w:r>
              <w:rPr>
                <w:rFonts w:hint="eastAsia"/>
              </w:rPr>
              <w:t>3、信息系统运行维护服务：</w:t>
            </w:r>
          </w:p>
          <w:p>
            <w:pPr>
              <w:rPr>
                <w:rFonts w:hint="eastAsia"/>
              </w:rPr>
            </w:pPr>
            <w:r>
              <w:rPr>
                <w:rFonts w:hint="eastAsia"/>
              </w:rPr>
              <w:t>市场调研→与顾客接触→合同评审→签订合同→运维服务→验收→交付→售后服务</w:t>
            </w:r>
          </w:p>
          <w:p>
            <w:pPr>
              <w:rPr>
                <w:rFonts w:hint="eastAsia"/>
              </w:rPr>
            </w:pPr>
            <w:r>
              <w:rPr>
                <w:rFonts w:hint="eastAsia"/>
              </w:rPr>
              <w:t>4、销售服务工作流程：</w:t>
            </w:r>
          </w:p>
          <w:p>
            <w:r>
              <w:rPr>
                <w:rFonts w:hint="eastAsia"/>
              </w:rPr>
              <w:t>接受意向订单→合同评审→签单→组织货源→产品和服务销售→交付→验收→售后服务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2023年02月09日 下午至2023年02月11日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rPr>
              <w:t>西安曲江新区雁翔路旺座曲江K座1601</w:t>
            </w:r>
            <w:r>
              <w:rPr>
                <w:rFonts w:hint="eastAsia" w:ascii="宋体"/>
                <w:b/>
                <w:color w:val="0000FF"/>
                <w:szCs w:val="21"/>
                <w:lang w:val="en-US" w:eastAsia="zh-CN"/>
              </w:rPr>
              <w:t>/陕西省西安市长安区韦郭路553号西北政法大学/陕西省西安市碑林区南二环中段长安大学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w:t>
            </w:r>
            <w:r>
              <w:rPr>
                <w:rFonts w:hint="eastAsia" w:ascii="宋体"/>
                <w:b/>
                <w:color w:val="0000FF"/>
                <w:szCs w:val="21"/>
              </w:rPr>
              <w:sym w:font="Wingdings 2" w:char="00A3"/>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widowControl/>
              <w:jc w:val="left"/>
              <w:rPr>
                <w:rFonts w:hint="eastAsia" w:ascii="宋体" w:hAnsi="宋体" w:cs="宋体"/>
                <w:color w:val="000000"/>
                <w:kern w:val="0"/>
                <w:szCs w:val="21"/>
              </w:rPr>
            </w:pPr>
            <w:bookmarkStart w:id="29" w:name="审核范围"/>
            <w:r>
              <w:rPr>
                <w:rFonts w:hint="eastAsia" w:ascii="宋体" w:hAnsi="宋体" w:cs="宋体"/>
                <w:color w:val="000000"/>
                <w:kern w:val="0"/>
                <w:szCs w:val="21"/>
              </w:rPr>
              <w:t>Q：计算机应用软件的设计开发；信息系统集成；信息系统运行维护服务；网络设备、音响设备、物联网设备、办公设备、人工智能硬件、幻灯及投影设备、数字视频监控系统的销售；计算机软硬件及辅助设备的零售；</w:t>
            </w:r>
          </w:p>
          <w:p>
            <w:pPr>
              <w:widowControl/>
              <w:jc w:val="left"/>
              <w:rPr>
                <w:rFonts w:hint="eastAsia" w:ascii="宋体" w:hAnsi="宋体" w:cs="宋体"/>
                <w:color w:val="000000"/>
                <w:kern w:val="0"/>
                <w:szCs w:val="21"/>
              </w:rPr>
            </w:pPr>
            <w:r>
              <w:rPr>
                <w:rFonts w:hint="eastAsia" w:ascii="宋体" w:hAnsi="宋体" w:cs="宋体"/>
                <w:color w:val="000000"/>
                <w:kern w:val="0"/>
                <w:szCs w:val="21"/>
              </w:rPr>
              <w:t>E：计算机应用软件的设计开发；信息系统集成；信息系统运行维护服务；网络设备、音响设备、物联网设备、办公设备、人工智能硬件、幻灯及投影设备、数字视频监控系统的销售；计算机软硬件及辅助设备的零售所涉及场所的相关环境管理活动</w:t>
            </w:r>
          </w:p>
          <w:p>
            <w:r>
              <w:rPr>
                <w:rFonts w:hint="eastAsia" w:ascii="宋体" w:hAnsi="宋体" w:cs="宋体"/>
                <w:color w:val="000000"/>
                <w:kern w:val="0"/>
                <w:szCs w:val="21"/>
              </w:rPr>
              <w:t>O：计算机应用软件的设计开发；信息系统集成；信息系统运行维护服务；网络设备、音响设备、物联网设备、办公设备、人工智能硬件、幻灯及投影设备、数字视频监控系统的销售；计算机软硬件及辅助设备的零售所涉及场所相关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w:t>
            </w:r>
            <w:r>
              <w:rPr>
                <w:rFonts w:hint="eastAsia"/>
              </w:rPr>
              <w:t>29.12.00;29.16.01;33.02.01;33.02.02;33.02.04</w:t>
            </w:r>
          </w:p>
          <w:p>
            <w:r>
              <w:t>E：</w:t>
            </w:r>
            <w:r>
              <w:rPr>
                <w:rFonts w:hint="eastAsia"/>
              </w:rPr>
              <w:t>29.12.00;29.16.01;33.02.01;33.02.02;33.02.04</w:t>
            </w:r>
          </w:p>
          <w:p>
            <w:r>
              <w:t>O：</w:t>
            </w:r>
            <w:bookmarkEnd w:id="30"/>
            <w:r>
              <w:rPr>
                <w:rFonts w:hint="eastAsia"/>
              </w:rPr>
              <w:t>29.12.00;29.16.01;33.02.01;33.02.02;33.02.04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2022年07月01日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hint="eastAsia" w:eastAsia="黑体"/>
                <w:szCs w:val="21"/>
                <w:lang w:val="de-DE" w:eastAsia="ja-JP"/>
              </w:rPr>
              <w:t>陕西智恒数码科技有限责任公司</w:t>
            </w:r>
            <w:r>
              <w:rPr>
                <w:rFonts w:hint="eastAsia" w:eastAsia="黑体"/>
                <w:szCs w:val="21"/>
                <w:lang w:val="en-US" w:eastAsia="zh-CN"/>
              </w:rPr>
              <w:t>/西安曲江新区雁翔路旺座曲江K座1601</w:t>
            </w:r>
          </w:p>
        </w:tc>
        <w:tc>
          <w:tcPr>
            <w:tcW w:w="2267" w:type="dxa"/>
            <w:vAlign w:val="top"/>
          </w:tcPr>
          <w:p>
            <w:pPr>
              <w:spacing w:before="40" w:after="40"/>
              <w:rPr>
                <w:lang w:val="de-DE" w:eastAsia="ja-JP"/>
              </w:rPr>
            </w:pPr>
            <w:r>
              <w:rPr>
                <w:rFonts w:hint="eastAsia" w:eastAsia="黑体"/>
                <w:szCs w:val="21"/>
                <w:lang w:val="de-DE" w:eastAsia="ja-JP"/>
              </w:rPr>
              <w:t>西安曲江新区雁翔路旺座曲江K座1601</w:t>
            </w:r>
            <w:r>
              <w:rPr>
                <w:rFonts w:hint="eastAsia" w:eastAsia="黑体"/>
                <w:szCs w:val="21"/>
                <w:lang w:val="en-US" w:eastAsia="zh-CN"/>
              </w:rPr>
              <w:t>/陕西省西安市长安区韦郭路553号西北政法大学</w:t>
            </w:r>
          </w:p>
        </w:tc>
        <w:tc>
          <w:tcPr>
            <w:tcW w:w="571" w:type="dxa"/>
            <w:vAlign w:val="center"/>
          </w:tcPr>
          <w:p>
            <w:pPr>
              <w:spacing w:before="40" w:after="40"/>
              <w:rPr>
                <w:lang w:eastAsia="ja-JP"/>
              </w:rPr>
            </w:pPr>
            <w:r>
              <w:rPr>
                <w:rFonts w:hint="eastAsia" w:eastAsia="黑体"/>
                <w:szCs w:val="21"/>
                <w:lang w:val="en-US" w:eastAsia="zh-CN"/>
              </w:rPr>
              <w:t>32</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Q：计算机应用软件的设计开发；信息系统集成；信息系统运行维护服务；网络设备、音响设备、物联网设备、办公设备、人工智能硬件、幻灯及投影设备、数字视频监控系统的销售；计算机软硬件及辅助设备的零售；</w:t>
            </w:r>
          </w:p>
          <w:p>
            <w:pPr>
              <w:widowControl/>
              <w:jc w:val="left"/>
              <w:rPr>
                <w:rFonts w:hint="eastAsia" w:ascii="宋体" w:hAnsi="宋体" w:cs="宋体"/>
                <w:color w:val="000000"/>
                <w:kern w:val="0"/>
                <w:szCs w:val="21"/>
              </w:rPr>
            </w:pPr>
            <w:r>
              <w:rPr>
                <w:rFonts w:hint="eastAsia" w:ascii="宋体" w:hAnsi="宋体" w:cs="宋体"/>
                <w:color w:val="000000"/>
                <w:kern w:val="0"/>
                <w:szCs w:val="21"/>
              </w:rPr>
              <w:t>E：计算机应用软件的设计开发；信息系统集成；信息系统运行维护服务；网络设备、音响设备、物联网设备、办公设备、人工智能硬件、幻灯及投影设备、数字视频监控系统的销售；计算机软硬件及辅助设备的零售所涉及场所的相关环境管理活动</w:t>
            </w:r>
          </w:p>
          <w:p>
            <w:pPr>
              <w:rPr>
                <w:lang w:eastAsia="ja-JP"/>
              </w:rPr>
            </w:pPr>
            <w:r>
              <w:rPr>
                <w:rFonts w:hint="eastAsia" w:ascii="宋体" w:hAnsi="宋体" w:cs="宋体"/>
                <w:color w:val="000000"/>
                <w:kern w:val="0"/>
                <w:szCs w:val="21"/>
              </w:rPr>
              <w:t>O：计算机应用软件的设计开发；信息系统集成；信息系统运行维护服务；网络设备、音响设备、物联网设备、办公设备、人工智能硬件、幻灯及投影设备、数字视频监控系统的销售；计算机软硬件及辅助设备的零售所涉及场所相关的职业健康安全管理活动</w:t>
            </w:r>
          </w:p>
        </w:tc>
        <w:tc>
          <w:tcPr>
            <w:tcW w:w="669" w:type="dxa"/>
            <w:vAlign w:val="center"/>
          </w:tcPr>
          <w:p>
            <w:pPr>
              <w:spacing w:before="40" w:after="40"/>
              <w:rPr>
                <w:lang w:eastAsia="ja-JP"/>
              </w:rPr>
            </w:pPr>
            <w:r>
              <w:rPr>
                <w:rFonts w:hint="eastAsia" w:eastAsia="黑体"/>
                <w:szCs w:val="21"/>
                <w:lang w:eastAsia="ja-JP"/>
              </w:rPr>
              <w:t>GB/T19001-2016/GB/T24001-2016/GB/T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w:char="00FE"/>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p>
            <w:r>
              <w:t>2020-N1EMS-1263290</w:t>
            </w:r>
          </w:p>
          <w:p>
            <w:r>
              <w:t>2022-N1OHSMS-1263290</w:t>
            </w:r>
          </w:p>
        </w:tc>
        <w:tc>
          <w:tcPr>
            <w:tcW w:w="2179" w:type="dxa"/>
            <w:vAlign w:val="center"/>
          </w:tcPr>
          <w:p>
            <w:r>
              <w:t>Q:29.12.00,33.02.01,33.02.02,33.02.04</w:t>
            </w:r>
          </w:p>
          <w:p>
            <w:r>
              <w:t>E:29.12.00,33.02.01,33.02.02,33.02.04</w:t>
            </w:r>
          </w:p>
          <w:p>
            <w:r>
              <w:t>O:29.12.00,33.02.01,33.02.02,33.02.04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李宝花</w:t>
            </w:r>
          </w:p>
        </w:tc>
        <w:tc>
          <w:tcPr>
            <w:tcW w:w="1089" w:type="dxa"/>
            <w:vAlign w:val="center"/>
          </w:tcPr>
          <w:p>
            <w:r>
              <w:t>组员</w:t>
            </w:r>
          </w:p>
        </w:tc>
        <w:tc>
          <w:tcPr>
            <w:tcW w:w="711" w:type="dxa"/>
            <w:vAlign w:val="center"/>
          </w:tcPr>
          <w:p>
            <w:r>
              <w:t>女</w:t>
            </w:r>
          </w:p>
        </w:tc>
        <w:tc>
          <w:tcPr>
            <w:tcW w:w="3870" w:type="dxa"/>
            <w:vAlign w:val="center"/>
          </w:tcPr>
          <w:p>
            <w:r>
              <w:t>2022-N1QMS-2239141</w:t>
            </w:r>
          </w:p>
          <w:p>
            <w:r>
              <w:t>2022-N1EMS-2239141</w:t>
            </w:r>
          </w:p>
          <w:p>
            <w:r>
              <w:t>2021-N1OHSMS-1239141</w:t>
            </w:r>
          </w:p>
        </w:tc>
        <w:tc>
          <w:tcPr>
            <w:tcW w:w="2179" w:type="dxa"/>
            <w:vAlign w:val="center"/>
          </w:tcPr>
          <w:p>
            <w:r>
              <w:t>Q:29.12.00</w:t>
            </w:r>
          </w:p>
          <w:p>
            <w:r>
              <w:t>E:29.12.00,33.02.01,33.02.02,33.02.04</w:t>
            </w:r>
          </w:p>
          <w:p>
            <w:r>
              <w:t>O:29.12.00,33.02.01,33.02.02,33.02.04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499110" cy="41402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499110" cy="4140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2023.2.12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r>
              <w:t xml:space="preserve"> </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A3"/>
            </w:r>
            <w:r>
              <w:rPr>
                <w:rFonts w:hint="eastAsia"/>
              </w:rPr>
              <w:t>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最高管理者制定了文件化的管理体系方针：</w:t>
            </w:r>
          </w:p>
          <w:p>
            <w:pPr>
              <w:shd w:val="clear" w:color="auto" w:fill="C7DAF1" w:themeFill="text2" w:themeFillTint="32"/>
            </w:pPr>
            <w:r>
              <w:rPr>
                <w:rFonts w:hint="eastAsia"/>
              </w:rPr>
              <w:t>科学运营管理，实现顾客满意；遵守法规要求，创建精品工程；坚持污染预防，废物达标排放；降低职业伤害，珍爱员工生命；坚持科技创新，持续改进管理。</w:t>
            </w:r>
            <w:bookmarkStart w:id="34" w:name="_GoBack"/>
            <w:bookmarkEnd w:id="34"/>
          </w:p>
          <w:p>
            <w:pPr>
              <w:pStyle w:val="2"/>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b/>
                    </w:rPr>
                    <w:t>风险：</w:t>
                  </w:r>
                  <w:r>
                    <w:rPr>
                      <w:rFonts w:hint="eastAsia"/>
                    </w:rPr>
                    <w:t>客户对产品和服务质量、环境、安全标准提高，给公司质量、环境、安全和售后管理提出新的要求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tcPr>
                <w:p>
                  <w:pPr>
                    <w:numPr>
                      <w:ilvl w:val="0"/>
                      <w:numId w:val="2"/>
                    </w:numPr>
                    <w:shd w:val="clear" w:color="auto" w:fill="C7DAF1" w:themeFill="text2" w:themeFillTint="32"/>
                  </w:pPr>
                  <w:r>
                    <w:rPr>
                      <w:rFonts w:hint="eastAsia"/>
                      <w:lang w:val="en-US" w:eastAsia="zh-CN"/>
                    </w:rPr>
                    <w:t>技术</w:t>
                  </w:r>
                  <w:r>
                    <w:rPr>
                      <w:rFonts w:hint="eastAsia"/>
                    </w:rPr>
                    <w:t>部、</w:t>
                  </w:r>
                  <w:r>
                    <w:rPr>
                      <w:rFonts w:hint="eastAsia"/>
                      <w:lang w:eastAsia="zh-CN"/>
                    </w:rPr>
                    <w:t>综合部</w:t>
                  </w:r>
                  <w:r>
                    <w:rPr>
                      <w:rFonts w:hint="eastAsia"/>
                    </w:rPr>
                    <w:t>、</w:t>
                  </w:r>
                  <w:r>
                    <w:rPr>
                      <w:rFonts w:hint="eastAsia"/>
                      <w:lang w:val="en-US" w:eastAsia="zh-CN"/>
                    </w:rPr>
                    <w:t>项目</w:t>
                  </w:r>
                  <w:r>
                    <w:rPr>
                      <w:rFonts w:hint="eastAsia"/>
                    </w:rPr>
                    <w:t>部加强与客户进行质量标准制定的沟通，统一双方的标准和方法。</w:t>
                  </w:r>
                </w:p>
                <w:p>
                  <w:pPr>
                    <w:pStyle w:val="2"/>
                    <w:numPr>
                      <w:ilvl w:val="0"/>
                      <w:numId w:val="2"/>
                    </w:numPr>
                  </w:pPr>
                  <w:r>
                    <w:rPr>
                      <w:rFonts w:hint="eastAsia"/>
                      <w:lang w:val="en-US" w:eastAsia="zh-CN"/>
                    </w:rPr>
                    <w:t>技术</w:t>
                  </w:r>
                  <w:r>
                    <w:rPr>
                      <w:rFonts w:hint="eastAsia"/>
                    </w:rPr>
                    <w:t>部、</w:t>
                  </w:r>
                  <w:r>
                    <w:rPr>
                      <w:rFonts w:hint="eastAsia"/>
                      <w:lang w:eastAsia="zh-CN"/>
                    </w:rPr>
                    <w:t>综合部</w:t>
                  </w:r>
                  <w:r>
                    <w:rPr>
                      <w:rFonts w:hint="eastAsia"/>
                    </w:rPr>
                    <w:t>、</w:t>
                  </w:r>
                  <w:r>
                    <w:rPr>
                      <w:rFonts w:hint="eastAsia"/>
                      <w:lang w:val="en-US" w:eastAsia="zh-CN"/>
                    </w:rPr>
                    <w:t>项目</w:t>
                  </w:r>
                  <w:r>
                    <w:rPr>
                      <w:rFonts w:hint="eastAsia"/>
                    </w:rPr>
                    <w:t>部做好施工计划的安排，保证计划的执行。</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pPr>
                  <w:r>
                    <w:rPr>
                      <w:rFonts w:hint="eastAsia"/>
                      <w:b/>
                    </w:rPr>
                    <w:t>风险：</w:t>
                  </w:r>
                  <w:r>
                    <w:rPr>
                      <w:rFonts w:hint="eastAsia"/>
                    </w:rPr>
                    <w:t>监管部门监管力度的加大，如公司执行不规范，可能存在被查处的风险</w:t>
                  </w:r>
                </w:p>
                <w:p>
                  <w:pPr>
                    <w:shd w:val="clear" w:color="auto" w:fill="C7DAF1" w:themeFill="text2" w:themeFillTint="32"/>
                  </w:pPr>
                  <w:r>
                    <w:rPr>
                      <w:rFonts w:hint="eastAsia"/>
                      <w:b/>
                    </w:rPr>
                    <w:t>机遇：</w:t>
                  </w:r>
                  <w:r>
                    <w:rPr>
                      <w:rFonts w:hint="eastAsia"/>
                    </w:rPr>
                    <w:t>行业环境的变化，给公司带来新的发展机遇</w:t>
                  </w:r>
                </w:p>
              </w:tc>
              <w:tc>
                <w:tcPr>
                  <w:tcW w:w="3965" w:type="dxa"/>
                </w:tcPr>
                <w:p>
                  <w:pPr>
                    <w:numPr>
                      <w:ilvl w:val="0"/>
                      <w:numId w:val="3"/>
                    </w:numPr>
                    <w:shd w:val="clear" w:color="auto" w:fill="C7DAF1" w:themeFill="text2" w:themeFillTint="32"/>
                  </w:pPr>
                  <w:r>
                    <w:rPr>
                      <w:rFonts w:hint="eastAsia"/>
                    </w:rPr>
                    <w:t>各级部门严格按照公司的规章制度开展相关工作。</w:t>
                  </w:r>
                </w:p>
                <w:p>
                  <w:pPr>
                    <w:pStyle w:val="2"/>
                    <w:numPr>
                      <w:ilvl w:val="0"/>
                      <w:numId w:val="3"/>
                    </w:numPr>
                  </w:pPr>
                  <w:r>
                    <w:rPr>
                      <w:rFonts w:hint="eastAsia"/>
                    </w:rPr>
                    <w:t>职能部门加大公司内部制度执行情况的检查。</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shd w:val="clear" w:color="auto" w:fill="C7DAF1" w:themeFill="text2" w:themeFillTint="32"/>
                    <w:rPr>
                      <w:rFonts w:hint="eastAsia"/>
                      <w:lang w:val="en-US" w:eastAsia="zh-CN"/>
                    </w:rPr>
                  </w:pPr>
                  <w:r>
                    <w:rPr>
                      <w:rFonts w:hint="eastAsia"/>
                      <w:lang w:val="en-US" w:eastAsia="zh-CN"/>
                    </w:rPr>
                    <w:t>服务按期完成率≥95%</w:t>
                  </w:r>
                </w:p>
              </w:tc>
              <w:tc>
                <w:tcPr>
                  <w:tcW w:w="3136" w:type="dxa"/>
                  <w:vAlign w:val="center"/>
                </w:tcPr>
                <w:p>
                  <w:pPr>
                    <w:shd w:val="clear" w:color="auto" w:fill="C7DAF1" w:themeFill="text2" w:themeFillTint="32"/>
                    <w:rPr>
                      <w:rFonts w:hint="eastAsia"/>
                      <w:lang w:val="en-US" w:eastAsia="zh-CN"/>
                    </w:rPr>
                  </w:pPr>
                  <w:r>
                    <w:rPr>
                      <w:rFonts w:hint="eastAsia"/>
                      <w:lang w:val="en-US" w:eastAsia="zh-CN"/>
                    </w:rPr>
                    <w:t>交付合格数量/总交付数量*100%</w:t>
                  </w:r>
                </w:p>
              </w:tc>
              <w:tc>
                <w:tcPr>
                  <w:tcW w:w="1350" w:type="dxa"/>
                  <w:shd w:val="clear" w:color="auto" w:fill="auto"/>
                  <w:vAlign w:val="center"/>
                </w:tcPr>
                <w:p>
                  <w:pPr>
                    <w:shd w:val="clear" w:color="auto" w:fill="C7DAF1" w:themeFill="text2" w:themeFillTint="32"/>
                    <w:rPr>
                      <w:rFonts w:hint="eastAsia" w:eastAsia="宋体"/>
                      <w:lang w:eastAsia="zh-CN"/>
                    </w:rPr>
                  </w:pPr>
                  <w:r>
                    <w:rPr>
                      <w:rFonts w:hint="eastAsia"/>
                      <w:lang w:val="en-US" w:eastAsia="zh-CN"/>
                    </w:rPr>
                    <w:t>综合部</w:t>
                  </w:r>
                </w:p>
              </w:tc>
              <w:tc>
                <w:tcPr>
                  <w:tcW w:w="1774" w:type="dxa"/>
                  <w:shd w:val="clear" w:color="auto" w:fill="auto"/>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shd w:val="clear" w:color="auto" w:fill="C7DAF1" w:themeFill="text2" w:themeFillTint="32"/>
                    <w:rPr>
                      <w:rFonts w:hint="eastAsia"/>
                      <w:lang w:val="en-US" w:eastAsia="zh-CN"/>
                    </w:rPr>
                  </w:pPr>
                  <w:r>
                    <w:rPr>
                      <w:rFonts w:hint="eastAsia"/>
                      <w:lang w:val="en-US" w:eastAsia="zh-CN"/>
                    </w:rPr>
                    <w:t>顾客满意度≥95分</w:t>
                  </w:r>
                </w:p>
              </w:tc>
              <w:tc>
                <w:tcPr>
                  <w:tcW w:w="3136" w:type="dxa"/>
                  <w:vAlign w:val="center"/>
                </w:tcPr>
                <w:p>
                  <w:pPr>
                    <w:shd w:val="clear" w:color="auto" w:fill="C7DAF1" w:themeFill="text2" w:themeFillTint="32"/>
                    <w:rPr>
                      <w:rFonts w:hint="eastAsia"/>
                      <w:lang w:val="en-US" w:eastAsia="zh-CN"/>
                    </w:rPr>
                  </w:pPr>
                  <w:r>
                    <w:rPr>
                      <w:rFonts w:hint="eastAsia"/>
                      <w:lang w:val="en-US" w:eastAsia="zh-CN"/>
                    </w:rPr>
                    <w:t>调查客户总分/客户数量</w:t>
                  </w:r>
                </w:p>
              </w:tc>
              <w:tc>
                <w:tcPr>
                  <w:tcW w:w="1350" w:type="dxa"/>
                  <w:shd w:val="clear" w:color="auto" w:fill="auto"/>
                  <w:vAlign w:val="center"/>
                </w:tcPr>
                <w:p>
                  <w:pPr>
                    <w:shd w:val="clear" w:color="auto" w:fill="C7DAF1" w:themeFill="text2" w:themeFillTint="32"/>
                  </w:pPr>
                  <w:r>
                    <w:rPr>
                      <w:rFonts w:hint="eastAsia"/>
                      <w:lang w:val="en-US" w:eastAsia="zh-CN"/>
                    </w:rPr>
                    <w:t>综合部</w:t>
                  </w:r>
                </w:p>
              </w:tc>
              <w:tc>
                <w:tcPr>
                  <w:tcW w:w="1774" w:type="dxa"/>
                  <w:shd w:val="clear" w:color="auto" w:fill="auto"/>
                  <w:vAlign w:val="center"/>
                </w:tcPr>
                <w:p>
                  <w:pPr>
                    <w:adjustRightInd w:val="0"/>
                    <w:snapToGrid w:val="0"/>
                    <w:spacing w:line="500" w:lineRule="exact"/>
                    <w:jc w:val="center"/>
                    <w:rPr>
                      <w:rFonts w:hint="default" w:eastAsia="宋体"/>
                      <w:lang w:val="en-US" w:eastAsia="zh-CN"/>
                    </w:rPr>
                  </w:pPr>
                  <w:r>
                    <w:rPr>
                      <w:rFonts w:hint="eastAsia" w:ascii="宋体" w:hAnsi="宋体"/>
                      <w:szCs w:val="21"/>
                    </w:rPr>
                    <w:t>9</w:t>
                  </w:r>
                  <w:r>
                    <w:rPr>
                      <w:rFonts w:hint="eastAsia" w:ascii="宋体" w:hAnsi="宋体"/>
                      <w:szCs w:val="21"/>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adjustRightInd w:val="0"/>
                    <w:snapToGrid w:val="0"/>
                    <w:spacing w:line="500" w:lineRule="exact"/>
                    <w:jc w:val="center"/>
                    <w:rPr>
                      <w:sz w:val="18"/>
                    </w:rPr>
                  </w:pPr>
                </w:p>
              </w:tc>
              <w:tc>
                <w:tcPr>
                  <w:tcW w:w="3136" w:type="dxa"/>
                  <w:shd w:val="clear" w:color="auto" w:fill="auto"/>
                  <w:vAlign w:val="center"/>
                </w:tcPr>
                <w:p>
                  <w:pPr>
                    <w:adjustRightInd w:val="0"/>
                    <w:snapToGrid w:val="0"/>
                    <w:spacing w:line="500" w:lineRule="exact"/>
                    <w:jc w:val="center"/>
                    <w:rPr>
                      <w:sz w:val="18"/>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adjustRightInd w:val="0"/>
                    <w:snapToGrid w:val="0"/>
                    <w:spacing w:line="5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sz w:val="18"/>
                    </w:rPr>
                  </w:pPr>
                </w:p>
              </w:tc>
              <w:tc>
                <w:tcPr>
                  <w:tcW w:w="3136" w:type="dxa"/>
                  <w:shd w:val="clear" w:color="auto" w:fill="auto"/>
                  <w:vAlign w:val="center"/>
                </w:tcPr>
                <w:p>
                  <w:pPr>
                    <w:adjustRightInd w:val="0"/>
                    <w:snapToGrid w:val="0"/>
                    <w:spacing w:line="500" w:lineRule="exact"/>
                    <w:jc w:val="center"/>
                    <w:rPr>
                      <w:sz w:val="18"/>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adjustRightInd w:val="0"/>
                    <w:snapToGrid w:val="0"/>
                    <w:spacing w:line="5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sz w:val="18"/>
                    </w:rPr>
                  </w:pPr>
                </w:p>
              </w:tc>
              <w:tc>
                <w:tcPr>
                  <w:tcW w:w="3136" w:type="dxa"/>
                  <w:shd w:val="clear" w:color="auto" w:fill="auto"/>
                  <w:vAlign w:val="center"/>
                </w:tcPr>
                <w:p>
                  <w:pPr>
                    <w:adjustRightInd w:val="0"/>
                    <w:snapToGrid w:val="0"/>
                    <w:spacing w:line="500" w:lineRule="exact"/>
                    <w:jc w:val="center"/>
                    <w:rPr>
                      <w:sz w:val="18"/>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adjustRightInd w:val="0"/>
                    <w:snapToGrid w:val="0"/>
                    <w:spacing w:line="500" w:lineRule="exact"/>
                    <w:jc w:val="center"/>
                    <w:rPr>
                      <w:sz w:val="18"/>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w:t>
            </w:r>
            <w:r>
              <w:t>00</w:t>
            </w:r>
            <w:r>
              <w:rPr>
                <w:rFonts w:hint="eastAsia"/>
              </w:rPr>
              <w:t>平方米左右；生产车间个；库房个；实验室个；</w:t>
            </w:r>
          </w:p>
          <w:p>
            <w:pPr>
              <w:shd w:val="clear" w:color="auto" w:fill="C7DAF1" w:themeFill="text2" w:themeFillTint="32"/>
              <w:rPr>
                <w:u w:val="single"/>
              </w:rPr>
            </w:pPr>
            <w:r>
              <w:rPr>
                <w:rFonts w:hint="eastAsia"/>
              </w:rPr>
              <w:t>主要生产设备有：</w:t>
            </w:r>
            <w:r>
              <w:rPr>
                <w:rFonts w:hint="eastAsia"/>
                <w:u w:val="single"/>
              </w:rPr>
              <w:t>（计算机、网线钳、巡线仪、万用表、交换机、服务器、网络存储、防火墙、开发软件、360杀毒软件、操作系统、CodeSmith、数据库、PowerDesigner 15、IIS、AutoCAD 2010、Photoshop cs3、Dreamweaver cs5、Coreldraw x3、flash、设计应用软件MyEclipse、功能自动化测试工具：Watir、性能自动化测试工具：Jmeter、预测系统行为和性能的负载测试：LoadRunner等）</w:t>
            </w:r>
          </w:p>
          <w:p>
            <w:pPr>
              <w:shd w:val="clear" w:color="auto" w:fill="C7DAF1" w:themeFill="text2" w:themeFillTint="32"/>
            </w:pPr>
            <w:r>
              <w:rPr>
                <w:rFonts w:hint="eastAsia"/>
              </w:rPr>
              <w:t>特种设备：</w:t>
            </w:r>
            <w:r>
              <w:rPr>
                <w:rFonts w:hint="eastAsia" w:ascii="Wingdings" w:hAnsi="Wingdings"/>
              </w:rPr>
              <w:sym w:font="Wingdings 2" w:char="0052"/>
            </w:r>
            <w:r>
              <w:rPr>
                <w:rFonts w:hint="eastAsia" w:ascii="Wingdings" w:hAnsi="Wingdings"/>
              </w:rPr>
              <w:t>无¨</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sym w:font="Wingdings 2" w:char="0052"/>
            </w:r>
            <w:r>
              <w:rPr>
                <w:rFonts w:hint="eastAsia" w:ascii="Wingdings" w:hAnsi="Wingdings"/>
              </w:rPr>
              <w:t>无¨</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sym w:font="Wingdings 2" w:char="0052"/>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sz w:val="20"/>
                    </w:rPr>
                    <w:t>计算机应用软件的设计开发</w:t>
                  </w:r>
                </w:p>
              </w:tc>
              <w:tc>
                <w:tcPr>
                  <w:tcW w:w="3665" w:type="dxa"/>
                </w:tcPr>
                <w:p>
                  <w:pPr>
                    <w:shd w:val="clear" w:color="auto" w:fill="C7DAF1" w:themeFill="text2" w:themeFillTint="32"/>
                    <w:jc w:val="left"/>
                  </w:pPr>
                  <w:r>
                    <w:rPr>
                      <w:rFonts w:hint="eastAsia"/>
                      <w:sz w:val="20"/>
                    </w:rPr>
                    <w:t>编码</w:t>
                  </w:r>
                </w:p>
              </w:tc>
              <w:tc>
                <w:tcPr>
                  <w:tcW w:w="3265" w:type="dxa"/>
                </w:tcPr>
                <w:p>
                  <w:pPr>
                    <w:shd w:val="clear" w:color="auto" w:fill="C7DAF1" w:themeFill="text2" w:themeFillTint="32"/>
                    <w:jc w:val="left"/>
                  </w:pPr>
                  <w:r>
                    <w:rPr>
                      <w:rFonts w:hint="eastAsia"/>
                    </w:rPr>
                    <w:t>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信息系统集成</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调试过程</w:t>
                  </w:r>
                </w:p>
              </w:tc>
              <w:tc>
                <w:tcPr>
                  <w:tcW w:w="3265" w:type="dxa"/>
                </w:tcPr>
                <w:p>
                  <w:pPr>
                    <w:shd w:val="clear" w:color="auto" w:fill="C7DAF1" w:themeFill="text2" w:themeFillTint="32"/>
                    <w:jc w:val="left"/>
                  </w:pPr>
                  <w:r>
                    <w:rPr>
                      <w:rFonts w:hint="eastAsia"/>
                    </w:rPr>
                    <w:t>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信息系统运行维护服务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运维过程</w:t>
                  </w:r>
                </w:p>
              </w:tc>
              <w:tc>
                <w:tcPr>
                  <w:tcW w:w="3265" w:type="dxa"/>
                </w:tcPr>
                <w:p>
                  <w:pPr>
                    <w:shd w:val="clear" w:color="auto" w:fill="C7DAF1" w:themeFill="text2" w:themeFillTint="32"/>
                    <w:jc w:val="left"/>
                  </w:pPr>
                  <w:r>
                    <w:rPr>
                      <w:rFonts w:hint="eastAsia"/>
                    </w:rPr>
                    <w:t>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rPr>
                  </w:pPr>
                  <w:r>
                    <w:rPr>
                      <w:rFonts w:hint="eastAsia"/>
                    </w:rPr>
                    <w:t>网络设备、音响设备、物联网设备、办公设备、人工智能硬件、幻灯及投影设备、数字视频监控系统的销售；计算机软硬件及辅助设备的零售</w:t>
                  </w:r>
                </w:p>
              </w:tc>
              <w:tc>
                <w:tcPr>
                  <w:tcW w:w="3665" w:type="dxa"/>
                </w:tcPr>
                <w:p>
                  <w:pPr>
                    <w:shd w:val="clear" w:color="auto" w:fill="C7DAF1" w:themeFill="text2" w:themeFillTint="32"/>
                    <w:jc w:val="left"/>
                  </w:pPr>
                  <w:r>
                    <w:rPr>
                      <w:rFonts w:hint="eastAsia"/>
                      <w:sz w:val="20"/>
                    </w:rPr>
                    <w:t>销售服务</w:t>
                  </w:r>
                </w:p>
              </w:tc>
              <w:tc>
                <w:tcPr>
                  <w:tcW w:w="3265" w:type="dxa"/>
                </w:tcPr>
                <w:p>
                  <w:pPr>
                    <w:shd w:val="clear" w:color="auto" w:fill="C7DAF1" w:themeFill="text2" w:themeFillTint="32"/>
                    <w:jc w:val="left"/>
                  </w:pPr>
                  <w:r>
                    <w:rPr>
                      <w:rFonts w:hint="eastAsia"/>
                    </w:rPr>
                    <w:t>客户要求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sz w:val="20"/>
              </w:rPr>
              <w:t>销售服务、编码</w:t>
            </w:r>
          </w:p>
          <w:p>
            <w:pPr>
              <w:shd w:val="clear" w:color="auto" w:fill="C7DAF1" w:themeFill="text2" w:themeFillTint="32"/>
              <w:jc w:val="left"/>
            </w:pPr>
            <w:r>
              <w:rPr>
                <w:rFonts w:hint="eastAsia" w:ascii="Wingdings" w:hAnsi="Wingdings"/>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t>¨</w:t>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w:t>
            </w:r>
            <w:r>
              <w:rPr>
                <w:rFonts w:hint="eastAsia"/>
                <w:lang w:val="en-US" w:eastAsia="zh-CN"/>
              </w:rPr>
              <w:t>12</w:t>
            </w:r>
            <w:r>
              <w:rPr>
                <w:rFonts w:hint="eastAsia"/>
              </w:rPr>
              <w:t>月</w:t>
            </w:r>
            <w:r>
              <w:rPr>
                <w:rFonts w:hint="eastAsia"/>
                <w:lang w:val="en-US" w:eastAsia="zh-CN"/>
              </w:rPr>
              <w:t>6</w:t>
            </w:r>
            <w:r>
              <w:t>-</w:t>
            </w:r>
            <w:r>
              <w:rPr>
                <w:rFonts w:hint="eastAsia"/>
                <w:lang w:val="en-US" w:eastAsia="zh-CN"/>
              </w:rPr>
              <w:t>7</w:t>
            </w:r>
            <w:r>
              <w:rPr>
                <w:rFonts w:hint="eastAsia"/>
              </w:rPr>
              <w:t>日日实施了质量管理体系内部审核，对质量管理体系的符合性和有效性进行了审核。内审发现的1项不符合在本次审核前已完成整改。在公司内完成的这些审核是可信的。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w:t>
            </w:r>
            <w:r>
              <w:rPr>
                <w:rFonts w:hint="eastAsia"/>
                <w:lang w:val="en-US" w:eastAsia="zh-CN"/>
              </w:rPr>
              <w:t>3</w:t>
            </w:r>
            <w:r>
              <w:rPr>
                <w:rFonts w:hint="eastAsia"/>
              </w:rPr>
              <w:t>年</w:t>
            </w:r>
            <w:r>
              <w:rPr>
                <w:rFonts w:hint="eastAsia"/>
                <w:lang w:val="en-US" w:eastAsia="zh-CN"/>
              </w:rPr>
              <w:t>1</w:t>
            </w:r>
            <w:r>
              <w:rPr>
                <w:rFonts w:hint="eastAsia"/>
              </w:rPr>
              <w:t>月1</w:t>
            </w:r>
            <w:r>
              <w:rPr>
                <w:rFonts w:hint="eastAsia"/>
                <w:lang w:val="en-US" w:eastAsia="zh-CN"/>
              </w:rPr>
              <w:t>4</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52"/>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3</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绩效□工艺□设备□人员能力</w:t>
                  </w:r>
                </w:p>
                <w:p>
                  <w:pPr>
                    <w:shd w:val="clear" w:color="auto" w:fill="EBF1DE" w:themeFill="accent3" w:themeFillTint="32"/>
                  </w:pPr>
                  <w:r>
                    <w:rPr>
                      <w:rFonts w:hint="eastAsia"/>
                    </w:rPr>
                    <w:t>□</w:t>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pStyle w:val="3"/>
              <w:spacing w:line="400" w:lineRule="exact"/>
              <w:ind w:left="0" w:leftChars="0" w:firstLine="0" w:firstLineChars="0"/>
            </w:pPr>
            <w:r>
              <w:rPr>
                <w:rFonts w:hint="eastAsia"/>
              </w:rPr>
              <w:t>最高管理者制定了文件化的管理体系方针：</w:t>
            </w:r>
          </w:p>
          <w:p>
            <w:pPr>
              <w:shd w:val="clear" w:color="auto" w:fill="EBF1DE" w:themeFill="accent3" w:themeFillTint="32"/>
            </w:pPr>
            <w:r>
              <w:rPr>
                <w:rFonts w:hint="eastAsia"/>
              </w:rPr>
              <w:t>科学运营管理，实现顾客满意；遵守法规要求，创建精品工程；坚持污染预防，废物达标排放；降低职业伤害，珍爱员工生命；坚持科技创新，持续改进管理。</w:t>
            </w:r>
          </w:p>
          <w:p>
            <w:pPr>
              <w:shd w:val="clear" w:color="auto" w:fill="EBF1DE" w:themeFill="accent3" w:themeFillTint="32"/>
            </w:pPr>
          </w:p>
          <w:p>
            <w:pPr>
              <w:shd w:val="clear" w:color="auto" w:fill="EBF1DE" w:themeFill="accent3" w:themeFillTint="32"/>
            </w:pPr>
            <w:r>
              <w:rPr>
                <w:rFonts w:hint="eastAsia"/>
              </w:rPr>
              <w:t>环境方针合理恰当并为相应的环境目标提供了框架，包括了保护环境的承诺、履行其合规义务的承诺，持续改进环境管理体系以提高环境绩效的承诺；最高管理层已经宣布了组织的环境方针并进行了实施，它使所有员工负起持续改进环境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szCs w:val="21"/>
                    </w:rPr>
                    <w:t>行业标准的变化</w:t>
                  </w:r>
                </w:p>
              </w:tc>
              <w:tc>
                <w:tcPr>
                  <w:tcW w:w="3965" w:type="dxa"/>
                </w:tcPr>
                <w:p>
                  <w:pPr>
                    <w:shd w:val="clear" w:color="auto" w:fill="EBF1DE" w:themeFill="accent3" w:themeFillTint="32"/>
                  </w:pPr>
                  <w:r>
                    <w:rPr>
                      <w:rFonts w:hint="eastAsia"/>
                    </w:rPr>
                    <w:t>1.主要职能部门按照要求加强法律法规的收集评价；</w:t>
                  </w:r>
                  <w:r>
                    <w:rPr>
                      <w:rFonts w:hint="eastAsia"/>
                      <w:lang w:eastAsia="zh-CN"/>
                    </w:rPr>
                    <w:t>综合部</w:t>
                  </w:r>
                  <w:r>
                    <w:rPr>
                      <w:rFonts w:hint="eastAsia"/>
                    </w:rPr>
                    <w:t>加大市场开拓</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b/>
                    </w:rPr>
                    <w:t>风险：</w:t>
                  </w:r>
                  <w:r>
                    <w:rPr>
                      <w:rFonts w:hint="eastAsia"/>
                    </w:rPr>
                    <w:t>目前公司管理流程基本覆盖了公司日常工作，但是流程执行力如果得不到保证，会对公司运行带来一定的风险。</w:t>
                  </w:r>
                </w:p>
                <w:p>
                  <w:pPr>
                    <w:shd w:val="clear" w:color="auto" w:fill="EBF1DE" w:themeFill="accent3" w:themeFillTint="32"/>
                  </w:pPr>
                  <w:r>
                    <w:rPr>
                      <w:rFonts w:hint="eastAsia"/>
                      <w:b/>
                    </w:rPr>
                    <w:t>机遇：</w:t>
                  </w:r>
                  <w:r>
                    <w:rPr>
                      <w:rFonts w:hint="eastAsia"/>
                      <w:spacing w:val="-6"/>
                      <w:szCs w:val="21"/>
                    </w:rPr>
                    <w:t>完善流程，提高执行力，可以提高公司的管理水平。</w:t>
                  </w:r>
                </w:p>
              </w:tc>
              <w:tc>
                <w:tcPr>
                  <w:tcW w:w="3965" w:type="dxa"/>
                </w:tcPr>
                <w:p>
                  <w:r>
                    <w:rPr>
                      <w:rFonts w:hint="eastAsia"/>
                    </w:rPr>
                    <w:t>1.各级部门必须严格按照流程开展日常工作，对出现的不符合情况及时调整文件，保持流程的可操作性；</w:t>
                  </w:r>
                </w:p>
                <w:p>
                  <w:pPr>
                    <w:shd w:val="clear" w:color="auto" w:fill="EBF1DE" w:themeFill="accent3" w:themeFillTint="32"/>
                  </w:pPr>
                  <w:r>
                    <w:rPr>
                      <w:rFonts w:hint="eastAsia"/>
                    </w:rPr>
                    <w:t>2.公司组织定期组织进行流程的评审。</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adjustRightInd w:val="0"/>
                    <w:snapToGrid w:val="0"/>
                    <w:spacing w:line="500" w:lineRule="exact"/>
                    <w:jc w:val="center"/>
                    <w:rPr>
                      <w:sz w:val="18"/>
                    </w:rPr>
                  </w:pPr>
                  <w:r>
                    <w:t>固废分类回收率</w:t>
                  </w:r>
                  <w:r>
                    <w:rPr>
                      <w:rFonts w:hint="eastAsia"/>
                    </w:rPr>
                    <w:t>100%</w:t>
                  </w:r>
                </w:p>
              </w:tc>
              <w:tc>
                <w:tcPr>
                  <w:tcW w:w="3136" w:type="dxa"/>
                </w:tcPr>
                <w:p>
                  <w:pPr>
                    <w:adjustRightInd w:val="0"/>
                    <w:snapToGrid w:val="0"/>
                    <w:spacing w:line="500" w:lineRule="exact"/>
                    <w:jc w:val="center"/>
                    <w:rPr>
                      <w:sz w:val="18"/>
                      <w:lang w:val="en-GB"/>
                    </w:rPr>
                  </w:pPr>
                  <w:r>
                    <w:t>分类次数</w:t>
                  </w:r>
                  <w:r>
                    <w:rPr>
                      <w:rFonts w:hint="eastAsia"/>
                    </w:rPr>
                    <w:t>/总处理次数*100%</w:t>
                  </w:r>
                </w:p>
              </w:tc>
              <w:tc>
                <w:tcPr>
                  <w:tcW w:w="1350" w:type="dxa"/>
                  <w:shd w:val="clear" w:color="auto" w:fill="auto"/>
                  <w:vAlign w:val="center"/>
                </w:tcPr>
                <w:p>
                  <w:pPr>
                    <w:shd w:val="clear" w:color="auto" w:fill="C7DAF1" w:themeFill="text2" w:themeFillTint="32"/>
                    <w:rPr>
                      <w:rFonts w:ascii="宋体" w:hAnsi="宋体"/>
                      <w:lang w:val="en-GB"/>
                    </w:rPr>
                  </w:pPr>
                  <w:r>
                    <w:rPr>
                      <w:rFonts w:hint="eastAsia"/>
                    </w:rPr>
                    <w:t>综合部</w:t>
                  </w:r>
                </w:p>
              </w:tc>
              <w:tc>
                <w:tcPr>
                  <w:tcW w:w="1774" w:type="dxa"/>
                  <w:shd w:val="clear" w:color="auto" w:fill="auto"/>
                  <w:vAlign w:val="center"/>
                </w:tcPr>
                <w:p>
                  <w:pPr>
                    <w:adjustRightInd w:val="0"/>
                    <w:snapToGrid w:val="0"/>
                    <w:spacing w:line="500" w:lineRule="exact"/>
                    <w:jc w:val="center"/>
                    <w:rPr>
                      <w:sz w:val="18"/>
                      <w:lang w:val="en-GB"/>
                    </w:rPr>
                  </w:pPr>
                  <w:r>
                    <w:rPr>
                      <w:sz w:val="18"/>
                    </w:rPr>
                    <w:t>100</w:t>
                  </w:r>
                  <w:r>
                    <w:rPr>
                      <w:rFonts w:hint="eastAsia"/>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adjustRightInd w:val="0"/>
                    <w:snapToGrid w:val="0"/>
                    <w:spacing w:line="500" w:lineRule="exact"/>
                    <w:jc w:val="center"/>
                    <w:rPr>
                      <w:sz w:val="18"/>
                    </w:rPr>
                  </w:pPr>
                  <w:r>
                    <w:t>火灾事故为</w:t>
                  </w:r>
                  <w:r>
                    <w:rPr>
                      <w:rFonts w:hint="eastAsia"/>
                    </w:rPr>
                    <w:t>零</w:t>
                  </w:r>
                </w:p>
              </w:tc>
              <w:tc>
                <w:tcPr>
                  <w:tcW w:w="3136" w:type="dxa"/>
                </w:tcPr>
                <w:p>
                  <w:pPr>
                    <w:adjustRightInd w:val="0"/>
                    <w:snapToGrid w:val="0"/>
                    <w:spacing w:line="500" w:lineRule="exact"/>
                    <w:jc w:val="center"/>
                    <w:rPr>
                      <w:sz w:val="18"/>
                    </w:rPr>
                  </w:pPr>
                  <w:r>
                    <w:t>以实际发生为准进行计数</w:t>
                  </w:r>
                </w:p>
              </w:tc>
              <w:tc>
                <w:tcPr>
                  <w:tcW w:w="1350" w:type="dxa"/>
                  <w:shd w:val="clear" w:color="auto" w:fill="auto"/>
                  <w:vAlign w:val="center"/>
                </w:tcPr>
                <w:p>
                  <w:pPr>
                    <w:shd w:val="clear" w:color="auto" w:fill="C7DAF1" w:themeFill="text2" w:themeFillTint="32"/>
                    <w:rPr>
                      <w:rFonts w:ascii="宋体" w:hAnsi="宋体"/>
                    </w:rPr>
                  </w:pPr>
                  <w:r>
                    <w:rPr>
                      <w:rFonts w:hint="eastAsia"/>
                    </w:rPr>
                    <w:t>综合部</w:t>
                  </w:r>
                </w:p>
              </w:tc>
              <w:tc>
                <w:tcPr>
                  <w:tcW w:w="1774" w:type="dxa"/>
                  <w:shd w:val="clear" w:color="auto" w:fill="auto"/>
                  <w:vAlign w:val="center"/>
                </w:tcPr>
                <w:p>
                  <w:pPr>
                    <w:adjustRightInd w:val="0"/>
                    <w:snapToGrid w:val="0"/>
                    <w:spacing w:line="500" w:lineRule="exact"/>
                    <w:jc w:val="center"/>
                    <w:rPr>
                      <w:sz w:val="18"/>
                    </w:rPr>
                  </w:pPr>
                  <w:r>
                    <w:rPr>
                      <w:rFonts w:asciiTheme="majorEastAsia" w:hAnsiTheme="majorEastAsia" w:eastAsiaTheme="majorEastAsia"/>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sz w:val="18"/>
                    </w:rPr>
                  </w:pPr>
                </w:p>
              </w:tc>
              <w:tc>
                <w:tcPr>
                  <w:tcW w:w="3136" w:type="dxa"/>
                  <w:shd w:val="clear" w:color="auto" w:fill="auto"/>
                  <w:vAlign w:val="center"/>
                </w:tcPr>
                <w:p>
                  <w:pPr>
                    <w:adjustRightInd w:val="0"/>
                    <w:snapToGrid w:val="0"/>
                    <w:spacing w:line="500" w:lineRule="exact"/>
                    <w:jc w:val="center"/>
                    <w:rPr>
                      <w:sz w:val="18"/>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adjustRightInd w:val="0"/>
                    <w:snapToGrid w:val="0"/>
                    <w:spacing w:line="5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w:t>
            </w:r>
            <w:r>
              <w:t>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u w:val="single"/>
              </w:rPr>
              <w:t>（计算机、网线钳、巡线仪、万用表、交换机、服务器、网络存储、防火墙、开发软件、360杀毒软件、操作系统、CodeSmith、数据库、PowerDesigner 15、IIS、AutoCAD 2010、Photoshop cs3、Dreamweaver cs5、Coreldraw x3、flash、设计应用软件MyEclipse、功能自动化测试工具：Watir、性能自动化测试工具：Jmeter、预测系统行为和性能的负载测试：LoadRunner等）</w:t>
            </w:r>
          </w:p>
          <w:p>
            <w:pPr>
              <w:shd w:val="clear" w:color="auto" w:fill="EBF1DE" w:themeFill="accent3" w:themeFillTint="32"/>
              <w:rPr>
                <w:u w:val="single"/>
              </w:rPr>
            </w:pPr>
            <w:r>
              <w:rPr>
                <w:rFonts w:hint="eastAsia"/>
              </w:rPr>
              <w:t>主要环保设备有：</w:t>
            </w:r>
            <w:r>
              <w:rPr>
                <w:rFonts w:hint="eastAsia"/>
                <w:u w:val="single"/>
              </w:rPr>
              <w:t>（灭火器、垃圾桶、消防栓）</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t>¨</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sym w:font="Wingdings 2" w:char="0052"/>
            </w:r>
            <w:r>
              <w:rPr>
                <w:rFonts w:hint="eastAsia" w:ascii="Wingdings" w:hAnsi="Wingdings"/>
              </w:rPr>
              <w:t>无¨</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sym w:font="Wingdings 2" w:char="0052"/>
            </w:r>
            <w:r>
              <w:rPr>
                <w:rFonts w:hint="eastAsia" w:ascii="Wingdings" w:hAnsi="Wingdings"/>
              </w:rPr>
              <w:t>无¨</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rPr>
                <w:rFonts w:ascii="方正仿宋简体" w:eastAsia="方正仿宋简体"/>
                <w:b/>
              </w:rPr>
            </w:pPr>
            <w:r>
              <w:rPr>
                <w:rFonts w:hint="eastAsia"/>
              </w:rPr>
              <w:sym w:font="Wingdings 2" w:char="0052"/>
            </w:r>
            <w:r>
              <w:rPr>
                <w:rFonts w:hint="eastAsia"/>
              </w:rPr>
              <w:t>法律法规获取充分，</w:t>
            </w:r>
            <w:r>
              <w:rPr>
                <w:rFonts w:hint="eastAsia"/>
              </w:rPr>
              <w:sym w:font="Wingdings 2" w:char="00A3"/>
            </w:r>
            <w:r>
              <w:rPr>
                <w:rFonts w:hint="eastAsia"/>
              </w:rPr>
              <w:t>法律法规获取有遗漏</w:t>
            </w:r>
            <w:r>
              <w:rPr>
                <w:rFonts w:hint="eastAsia" w:ascii="方正仿宋简体" w:eastAsia="方正仿宋简体"/>
                <w:b/>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分类管理</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配备灭火器、消防栓</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于2022年</w:t>
            </w:r>
            <w:r>
              <w:rPr>
                <w:rFonts w:hint="eastAsia"/>
                <w:lang w:val="en-US" w:eastAsia="zh-CN"/>
              </w:rPr>
              <w:t>12</w:t>
            </w:r>
            <w:r>
              <w:rPr>
                <w:rFonts w:hint="eastAsia"/>
              </w:rPr>
              <w:t>月1</w:t>
            </w:r>
            <w:r>
              <w:rPr>
                <w:rFonts w:hint="eastAsia"/>
                <w:lang w:val="en-US" w:eastAsia="zh-CN"/>
              </w:rPr>
              <w:t>0</w:t>
            </w:r>
            <w:r>
              <w:rPr>
                <w:rFonts w:hint="eastAsia"/>
              </w:rPr>
              <w:t>日进行了消防演练；并总结了预案的可行性和有效性。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定期（每年）：2022年</w:t>
            </w:r>
            <w:r>
              <w:rPr>
                <w:rFonts w:hint="eastAsia"/>
                <w:lang w:val="en-US" w:eastAsia="zh-CN"/>
              </w:rPr>
              <w:t>11</w:t>
            </w:r>
            <w:r>
              <w:rPr>
                <w:rFonts w:hint="eastAsia"/>
              </w:rPr>
              <w:t>月</w:t>
            </w:r>
            <w:r>
              <w:rPr>
                <w:rFonts w:hint="eastAsia"/>
                <w:lang w:val="en-US" w:eastAsia="zh-CN"/>
              </w:rPr>
              <w:t>8</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w:t>
            </w:r>
            <w:r>
              <w:rPr>
                <w:rFonts w:hint="eastAsia"/>
                <w:lang w:val="en-US" w:eastAsia="zh-CN"/>
              </w:rPr>
              <w:t>12</w:t>
            </w:r>
            <w:r>
              <w:rPr>
                <w:rFonts w:hint="eastAsia"/>
              </w:rPr>
              <w:t>月</w:t>
            </w:r>
            <w:r>
              <w:rPr>
                <w:rFonts w:hint="eastAsia"/>
                <w:lang w:val="en-US" w:eastAsia="zh-CN"/>
              </w:rPr>
              <w:t>6</w:t>
            </w:r>
            <w:r>
              <w:rPr>
                <w:rFonts w:hint="eastAsia"/>
              </w:rPr>
              <w:t>-</w:t>
            </w:r>
            <w:r>
              <w:rPr>
                <w:rFonts w:hint="eastAsia"/>
                <w:lang w:val="en-US" w:eastAsia="zh-CN"/>
              </w:rPr>
              <w:t>7</w:t>
            </w:r>
            <w:r>
              <w:rPr>
                <w:rFonts w:hint="eastAsia"/>
              </w:rPr>
              <w:t>日实施了环境管理体系内部审核，对环境管理体系的符合性和有效性进行了审核。内审发现的1项不符合在本次审核前已完成整改。在公司内完成的这些审核是可信的。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w:t>
            </w:r>
            <w:r>
              <w:rPr>
                <w:rFonts w:hint="eastAsia"/>
                <w:lang w:val="en-US" w:eastAsia="zh-CN"/>
              </w:rPr>
              <w:t>3</w:t>
            </w:r>
            <w:r>
              <w:rPr>
                <w:rFonts w:hint="eastAsia"/>
              </w:rPr>
              <w:t>年</w:t>
            </w:r>
            <w:r>
              <w:rPr>
                <w:rFonts w:hint="eastAsia"/>
                <w:lang w:val="en-US" w:eastAsia="zh-CN"/>
              </w:rPr>
              <w:t>1</w:t>
            </w:r>
            <w:r>
              <w:rPr>
                <w:rFonts w:hint="eastAsia"/>
              </w:rPr>
              <w:t>月1</w:t>
            </w:r>
            <w:r>
              <w:rPr>
                <w:rFonts w:hint="eastAsia"/>
                <w:lang w:val="en-US" w:eastAsia="zh-CN"/>
              </w:rPr>
              <w:t>4</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52"/>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OHSMS体系建立以来□定期（近一年）□其他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w:t>
                  </w:r>
                  <w:r>
                    <w:rPr>
                      <w:rFonts w:hint="eastAsia"/>
                    </w:rPr>
                    <w:sym w:font="Wingdings 2" w:char="0052"/>
                  </w:r>
                  <w:r>
                    <w:rPr>
                      <w:rFonts w:hint="eastAsia"/>
                    </w:rPr>
                    <w:t>文化□知识□绩效□工艺□设备□人员能力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A3"/>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pStyle w:val="2"/>
            </w:pPr>
            <w:r>
              <w:rPr>
                <w:rFonts w:hint="eastAsia"/>
              </w:rPr>
              <w:t>科学运营管理，实现顾客满意；遵守法规要求，创建精品工程；坚持污染预防，废物达标排放；降低职业伤害，珍爱员工生命；坚持科技创新，持续改进管理。</w:t>
            </w:r>
          </w:p>
          <w:p>
            <w:pPr>
              <w:pStyle w:val="2"/>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职业健康的主管部门是——综合部</w:t>
            </w:r>
          </w:p>
          <w:p>
            <w:r>
              <w:rPr>
                <w:rFonts w:hint="eastAsia"/>
              </w:rPr>
              <w:t>安全的主管部门是——综合部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员工代表是——王小娇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安全用电</w:t>
                  </w:r>
                </w:p>
              </w:tc>
              <w:tc>
                <w:tcPr>
                  <w:tcW w:w="3965" w:type="dxa"/>
                </w:tcPr>
                <w:p>
                  <w:r>
                    <w:rPr>
                      <w:rFonts w:hint="eastAsia"/>
                    </w:rPr>
                    <w:t>禁止乱接乱接、日常检查电源线是否老化</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火灾</w:t>
                  </w:r>
                </w:p>
              </w:tc>
              <w:tc>
                <w:tcPr>
                  <w:tcW w:w="3965" w:type="dxa"/>
                </w:tcPr>
                <w:p>
                  <w:r>
                    <w:rPr>
                      <w:rFonts w:hint="eastAsia"/>
                    </w:rPr>
                    <w:t>操作现场禁止吸烟，安全用电</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sz w:val="18"/>
                    </w:rPr>
                  </w:pPr>
                  <w:r>
                    <w:rPr>
                      <w:rFonts w:hint="eastAsia"/>
                      <w:sz w:val="18"/>
                    </w:rPr>
                    <w:t>火灾事故发生次数为零</w:t>
                  </w:r>
                </w:p>
              </w:tc>
              <w:tc>
                <w:tcPr>
                  <w:tcW w:w="3136" w:type="dxa"/>
                  <w:shd w:val="clear" w:color="auto" w:fill="auto"/>
                  <w:vAlign w:val="center"/>
                </w:tcPr>
                <w:p>
                  <w:pPr>
                    <w:adjustRightInd w:val="0"/>
                    <w:snapToGrid w:val="0"/>
                    <w:spacing w:line="500" w:lineRule="exact"/>
                    <w:jc w:val="center"/>
                    <w:rPr>
                      <w:sz w:val="18"/>
                    </w:rPr>
                  </w:pPr>
                  <w:r>
                    <w:rPr>
                      <w:sz w:val="18"/>
                    </w:rPr>
                    <w:t>以实际发生为准进行计数</w:t>
                  </w:r>
                </w:p>
              </w:tc>
              <w:tc>
                <w:tcPr>
                  <w:tcW w:w="1350" w:type="dxa"/>
                  <w:shd w:val="clear" w:color="auto" w:fill="auto"/>
                  <w:vAlign w:val="center"/>
                </w:tcPr>
                <w:p>
                  <w:pPr>
                    <w:shd w:val="clear" w:color="auto" w:fill="C7DAF1" w:themeFill="text2" w:themeFillTint="32"/>
                    <w:rPr>
                      <w:rFonts w:hint="eastAsia" w:eastAsia="宋体"/>
                      <w:sz w:val="18"/>
                      <w:lang w:eastAsia="zh-CN"/>
                    </w:rPr>
                  </w:pPr>
                  <w:r>
                    <w:rPr>
                      <w:rFonts w:hint="eastAsia"/>
                      <w:sz w:val="18"/>
                      <w:lang w:val="en-US" w:eastAsia="zh-CN"/>
                    </w:rPr>
                    <w:t>综合部</w:t>
                  </w:r>
                </w:p>
              </w:tc>
              <w:tc>
                <w:tcPr>
                  <w:tcW w:w="1774" w:type="dxa"/>
                  <w:shd w:val="clear" w:color="auto" w:fill="auto"/>
                  <w:vAlign w:val="center"/>
                </w:tcPr>
                <w:p>
                  <w:pPr>
                    <w:adjustRightInd w:val="0"/>
                    <w:snapToGrid w:val="0"/>
                    <w:spacing w:line="500" w:lineRule="exact"/>
                    <w:jc w:val="center"/>
                    <w:rPr>
                      <w:sz w:val="18"/>
                    </w:rPr>
                  </w:pPr>
                  <w:r>
                    <w:rPr>
                      <w:rFonts w:hint="eastAsia"/>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sz w:val="18"/>
                    </w:rPr>
                  </w:pPr>
                  <w:r>
                    <w:t>交通事故为</w:t>
                  </w:r>
                  <w:r>
                    <w:rPr>
                      <w:rFonts w:hint="eastAsia"/>
                    </w:rPr>
                    <w:t>零</w:t>
                  </w:r>
                </w:p>
              </w:tc>
              <w:tc>
                <w:tcPr>
                  <w:tcW w:w="3136" w:type="dxa"/>
                  <w:shd w:val="clear" w:color="auto" w:fill="auto"/>
                  <w:vAlign w:val="center"/>
                </w:tcPr>
                <w:p>
                  <w:pPr>
                    <w:adjustRightInd w:val="0"/>
                    <w:snapToGrid w:val="0"/>
                    <w:spacing w:line="500" w:lineRule="exact"/>
                    <w:jc w:val="center"/>
                    <w:rPr>
                      <w:sz w:val="18"/>
                    </w:rPr>
                  </w:pPr>
                  <w:r>
                    <w:rPr>
                      <w:sz w:val="18"/>
                    </w:rPr>
                    <w:t>以实际发生为准进行计数</w:t>
                  </w:r>
                </w:p>
              </w:tc>
              <w:tc>
                <w:tcPr>
                  <w:tcW w:w="1350" w:type="dxa"/>
                  <w:shd w:val="clear" w:color="auto" w:fill="auto"/>
                  <w:vAlign w:val="center"/>
                </w:tcPr>
                <w:p>
                  <w:pPr>
                    <w:shd w:val="clear" w:color="auto" w:fill="C7DAF1" w:themeFill="text2" w:themeFillTint="32"/>
                    <w:rPr>
                      <w:sz w:val="18"/>
                    </w:rPr>
                  </w:pPr>
                  <w:r>
                    <w:rPr>
                      <w:rFonts w:hint="eastAsia"/>
                      <w:sz w:val="18"/>
                      <w:lang w:val="en-US" w:eastAsia="zh-CN"/>
                    </w:rPr>
                    <w:t>综合部</w:t>
                  </w:r>
                </w:p>
              </w:tc>
              <w:tc>
                <w:tcPr>
                  <w:tcW w:w="1774" w:type="dxa"/>
                  <w:shd w:val="clear" w:color="auto" w:fill="auto"/>
                  <w:vAlign w:val="center"/>
                </w:tcPr>
                <w:p>
                  <w:pPr>
                    <w:adjustRightInd w:val="0"/>
                    <w:snapToGrid w:val="0"/>
                    <w:spacing w:line="500" w:lineRule="exact"/>
                    <w:jc w:val="center"/>
                    <w:rPr>
                      <w:sz w:val="18"/>
                    </w:rPr>
                  </w:pPr>
                  <w:r>
                    <w:rPr>
                      <w:rFonts w:hint="eastAsia"/>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w:t>
            </w:r>
            <w:r>
              <w:t>00</w:t>
            </w:r>
            <w:r>
              <w:rPr>
                <w:rFonts w:hint="eastAsia"/>
              </w:rPr>
              <w:t>平方米；生产车间个；库房个；实验室个；</w:t>
            </w:r>
          </w:p>
          <w:p>
            <w:pPr>
              <w:rPr>
                <w:u w:val="single"/>
              </w:rPr>
            </w:pPr>
            <w:r>
              <w:rPr>
                <w:rFonts w:hint="eastAsia"/>
              </w:rPr>
              <w:t>主要生产设备有：</w:t>
            </w:r>
            <w:r>
              <w:rPr>
                <w:rFonts w:hint="eastAsia"/>
                <w:u w:val="single"/>
              </w:rPr>
              <w:t>（计算机、网线钳、巡线仪、万用表、交换机、服务器、网络存储、防火墙、开发软件、360杀毒软件、操作系统、CodeSmith、数据库、PowerDesigner 15、IIS、AutoCAD 2010、Photoshop cs3、Dreamweaver cs5、Coreldraw x3、flash、设计应用软件MyEclipse、功能自动化测试工具：Watir、性能自动化测试工具：Jmeter、预测系统行为和性能的负载测试：LoadRunner等）</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sym w:font="Wingdings 2" w:char="0052"/>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sym w:font="Wingdings 2" w:char="0052"/>
            </w:r>
            <w:r>
              <w:rPr>
                <w:rFonts w:hint="eastAsia" w:ascii="Wingdings" w:hAnsi="Wingdings"/>
              </w:rPr>
              <w:t>无 ¨</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sym w:font="Wingdings 2" w:char="0052"/>
            </w:r>
            <w:r>
              <w:rPr>
                <w:rFonts w:hint="eastAsia" w:ascii="Wingdings" w:hAnsi="Wingdings"/>
              </w:rPr>
              <w:t>无¨</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pPr>
              <w:rPr>
                <w:rFonts w:ascii="方正仿宋简体" w:eastAsia="方正仿宋简体"/>
                <w:b/>
              </w:rPr>
            </w:pPr>
            <w:r>
              <w:rPr>
                <w:rFonts w:hint="eastAsia"/>
              </w:rPr>
              <w:sym w:font="Wingdings 2" w:char="0052"/>
            </w:r>
            <w:r>
              <w:rPr>
                <w:rFonts w:hint="eastAsia"/>
              </w:rPr>
              <w:t>法律法规获取充分，</w:t>
            </w:r>
            <w:r>
              <w:rPr>
                <w:rFonts w:hint="eastAsia"/>
              </w:rPr>
              <w:sym w:font="Wingdings 2" w:char="00A3"/>
            </w:r>
            <w:r>
              <w:rPr>
                <w:rFonts w:hint="eastAsia"/>
              </w:rPr>
              <w:t>法律法规获取有遗漏，</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2" w:char="0052"/>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t>灭火器</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于2022年</w:t>
            </w:r>
            <w:r>
              <w:rPr>
                <w:rFonts w:hint="eastAsia"/>
                <w:lang w:val="en-US" w:eastAsia="zh-CN"/>
              </w:rPr>
              <w:t>11</w:t>
            </w:r>
            <w:r>
              <w:rPr>
                <w:rFonts w:hint="eastAsia"/>
              </w:rPr>
              <w:t>月1</w:t>
            </w:r>
            <w:r>
              <w:rPr>
                <w:rFonts w:hint="eastAsia"/>
                <w:lang w:val="en-US" w:eastAsia="zh-CN"/>
              </w:rPr>
              <w:t>0</w:t>
            </w:r>
            <w:r>
              <w:rPr>
                <w:rFonts w:hint="eastAsia"/>
              </w:rPr>
              <w:t>日进行了火灾演练；并总结了预案的可行性和有效性。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定期（每年）：2022年</w:t>
            </w:r>
            <w:r>
              <w:rPr>
                <w:rFonts w:hint="eastAsia"/>
                <w:lang w:val="en-US" w:eastAsia="zh-CN"/>
              </w:rPr>
              <w:t>11</w:t>
            </w:r>
            <w:r>
              <w:rPr>
                <w:rFonts w:hint="eastAsia"/>
              </w:rPr>
              <w:t>月</w:t>
            </w:r>
            <w:r>
              <w:rPr>
                <w:rFonts w:hint="eastAsia"/>
                <w:lang w:val="en-US" w:eastAsia="zh-CN"/>
              </w:rPr>
              <w:t>8</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w:t>
            </w:r>
            <w:r>
              <w:rPr>
                <w:rFonts w:hint="eastAsia"/>
                <w:lang w:val="en-US" w:eastAsia="zh-CN"/>
              </w:rPr>
              <w:t>12</w:t>
            </w:r>
            <w:r>
              <w:rPr>
                <w:rFonts w:hint="eastAsia"/>
              </w:rPr>
              <w:t>月</w:t>
            </w:r>
            <w:r>
              <w:rPr>
                <w:rFonts w:hint="eastAsia"/>
                <w:lang w:val="en-US" w:eastAsia="zh-CN"/>
              </w:rPr>
              <w:t>6</w:t>
            </w:r>
            <w:r>
              <w:rPr>
                <w:rFonts w:hint="eastAsia"/>
              </w:rPr>
              <w:t>-</w:t>
            </w:r>
            <w:r>
              <w:rPr>
                <w:rFonts w:hint="eastAsia"/>
                <w:lang w:val="en-US" w:eastAsia="zh-CN"/>
              </w:rPr>
              <w:t>7</w:t>
            </w:r>
            <w:r>
              <w:rPr>
                <w:rFonts w:hint="eastAsia"/>
              </w:rPr>
              <w:t>日实施了职业健康安全管理体系内部审核，对职业健康安全管理体系的符合性和有效性进行了审核。内审发现的1项不符合在本次审核前已完成整改。在公司内完成的这些审核是可信的。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最高管理者已按策划的时间间隔，在2023年1月14日对组织的职业健康安全管理体系进行了评审，以确保其持续的适宜性、充分性和有效性；管理评审输入、输出均按要求提供。并对提出的改进措施进行了落实。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3</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77402"/>
    <w:multiLevelType w:val="singleLevel"/>
    <w:tmpl w:val="8AE77402"/>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6EFF1B9A"/>
    <w:multiLevelType w:val="singleLevel"/>
    <w:tmpl w:val="6EFF1B9A"/>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01194C53"/>
    <w:rsid w:val="04D007F3"/>
    <w:rsid w:val="08534C69"/>
    <w:rsid w:val="09137F54"/>
    <w:rsid w:val="0A530F50"/>
    <w:rsid w:val="0B662000"/>
    <w:rsid w:val="0C0B585A"/>
    <w:rsid w:val="0FF07749"/>
    <w:rsid w:val="17010EAC"/>
    <w:rsid w:val="1B106D2D"/>
    <w:rsid w:val="1E3D18A3"/>
    <w:rsid w:val="1F1545CE"/>
    <w:rsid w:val="2073362B"/>
    <w:rsid w:val="229C0B63"/>
    <w:rsid w:val="23CD24BD"/>
    <w:rsid w:val="24476E69"/>
    <w:rsid w:val="253A103F"/>
    <w:rsid w:val="312608BD"/>
    <w:rsid w:val="33E75ED9"/>
    <w:rsid w:val="448B5125"/>
    <w:rsid w:val="47321912"/>
    <w:rsid w:val="502F60D4"/>
    <w:rsid w:val="53F51CFD"/>
    <w:rsid w:val="6037369D"/>
    <w:rsid w:val="65CB0B10"/>
    <w:rsid w:val="660979AD"/>
    <w:rsid w:val="6894168D"/>
    <w:rsid w:val="6931441C"/>
    <w:rsid w:val="6BAF40B2"/>
    <w:rsid w:val="6C2641E5"/>
    <w:rsid w:val="6D2A0812"/>
    <w:rsid w:val="6F863CF9"/>
    <w:rsid w:val="77B05DB7"/>
    <w:rsid w:val="79654980"/>
    <w:rsid w:val="7B6C6499"/>
    <w:rsid w:val="7C490589"/>
    <w:rsid w:val="7ED625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2"/>
    <w:basedOn w:val="1"/>
    <w:qFormat/>
    <w:uiPriority w:val="0"/>
    <w:pPr>
      <w:spacing w:after="120" w:line="480" w:lineRule="auto"/>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0</TotalTime>
  <ScaleCrop>false</ScaleCrop>
  <LinksUpToDate>false</LinksUpToDate>
  <CharactersWithSpaces>21168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2023-02-12T02:38:52Z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