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2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-1193800</wp:posOffset>
            </wp:positionH>
            <wp:positionV relativeFrom="paragraph">
              <wp:posOffset>-1019810</wp:posOffset>
            </wp:positionV>
            <wp:extent cx="7597775" cy="11231245"/>
            <wp:effectExtent l="0" t="0" r="9525" b="8255"/>
            <wp:wrapNone/>
            <wp:docPr id="1" name="图片 1" descr="新文档 2023-02-17 08.29.3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7 08.29.30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123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河北营观图创科技有限公司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我公司的QMS管理体系</w:t>
      </w:r>
      <w:r>
        <w:rPr>
          <w:rFonts w:hint="eastAsia"/>
          <w:b/>
          <w:sz w:val="36"/>
          <w:szCs w:val="36"/>
          <w:lang w:val="en-US" w:eastAsia="zh-CN"/>
        </w:rPr>
        <w:t>近一年的体系运行中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河北营观图创科技有限公司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B3A45B1"/>
    <w:rsid w:val="329E5A23"/>
    <w:rsid w:val="4A844DCE"/>
    <w:rsid w:val="73300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2023-02-17T07:26:28Z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