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0144-2023-QEO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992"/>
        <w:gridCol w:w="675"/>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石家庄金流控科技有限公司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91130102MA07LEMKXJ</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eastAsia="宋体"/>
                <w:sz w:val="22"/>
                <w:szCs w:val="22"/>
                <w:lang w:eastAsia="zh-CN"/>
              </w:rPr>
            </w:pP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9001:2015标准</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Q:25,E:25,O:25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3" w:name="组织名称Add1"/>
            <w:r>
              <w:rPr>
                <w:rFonts w:hint="eastAsia"/>
                <w:sz w:val="22"/>
                <w:szCs w:val="22"/>
              </w:rPr>
              <w:t>石家庄金流控科技有限公司</w:t>
            </w:r>
            <w:bookmarkEnd w:id="13"/>
          </w:p>
        </w:tc>
        <w:tc>
          <w:tcPr>
            <w:tcW w:w="5013" w:type="dxa"/>
            <w:gridSpan w:val="4"/>
            <w:vMerge w:val="restart"/>
          </w:tcPr>
          <w:p>
            <w:pPr>
              <w:snapToGrid w:val="0"/>
              <w:spacing w:line="0" w:lineRule="atLeast"/>
              <w:jc w:val="left"/>
              <w:rPr>
                <w:sz w:val="22"/>
                <w:szCs w:val="22"/>
              </w:rPr>
            </w:pPr>
            <w:bookmarkStart w:id="14" w:name="审核范围"/>
            <w:r>
              <w:rPr>
                <w:sz w:val="22"/>
                <w:szCs w:val="22"/>
              </w:rPr>
              <w:t>Q：五金产品、仪器仪表、环保设备的销售</w:t>
            </w:r>
          </w:p>
          <w:p>
            <w:pPr>
              <w:snapToGrid w:val="0"/>
              <w:spacing w:line="0" w:lineRule="atLeast"/>
              <w:jc w:val="left"/>
              <w:rPr>
                <w:sz w:val="22"/>
                <w:szCs w:val="22"/>
              </w:rPr>
            </w:pPr>
            <w:r>
              <w:rPr>
                <w:sz w:val="22"/>
                <w:szCs w:val="22"/>
              </w:rPr>
              <w:t>E：五金产品、仪器仪表、环保设备的销售所涉及场所的相关环境管理活动</w:t>
            </w:r>
          </w:p>
          <w:p>
            <w:pPr>
              <w:snapToGrid w:val="0"/>
              <w:spacing w:line="0" w:lineRule="atLeast"/>
              <w:jc w:val="left"/>
              <w:rPr>
                <w:sz w:val="22"/>
                <w:szCs w:val="22"/>
              </w:rPr>
            </w:pPr>
            <w:r>
              <w:rPr>
                <w:sz w:val="22"/>
                <w:szCs w:val="22"/>
              </w:rPr>
              <w:t>O：五金产品、仪器仪表、环保设备的销售所涉及场所的相关职业健康安全管理活动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hint="eastAsia"/>
                <w:sz w:val="22"/>
                <w:szCs w:val="22"/>
                <w:lang w:val="en-GB"/>
              </w:rPr>
              <w:t>河北省石家庄市长安区中山东路85号627室</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6" w:name="办公地址"/>
            <w:r>
              <w:rPr>
                <w:rFonts w:hint="eastAsia"/>
                <w:sz w:val="22"/>
                <w:szCs w:val="22"/>
                <w:lang w:val="en-GB"/>
              </w:rPr>
              <w:t>河北省石家庄市长安区中山东路85号627室</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p>
        </w:tc>
        <w:tc>
          <w:tcPr>
            <w:tcW w:w="3373" w:type="dxa"/>
          </w:tcPr>
          <w:p>
            <w:pPr>
              <w:snapToGrid w:val="0"/>
              <w:spacing w:line="0" w:lineRule="atLeast"/>
              <w:jc w:val="left"/>
              <w:rPr>
                <w:sz w:val="22"/>
                <w:szCs w:val="22"/>
              </w:rPr>
            </w:pPr>
            <w:r>
              <w:rPr>
                <w:rFonts w:hint="eastAsia"/>
                <w:sz w:val="22"/>
                <w:szCs w:val="22"/>
              </w:rPr>
              <w:t>Shijiazhuang Jinliukong Technology Co. LTD</w:t>
            </w:r>
          </w:p>
        </w:tc>
        <w:tc>
          <w:tcPr>
            <w:tcW w:w="992" w:type="dxa"/>
          </w:tcPr>
          <w:p>
            <w:pPr>
              <w:snapToGrid w:val="0"/>
              <w:spacing w:line="0" w:lineRule="atLeast"/>
              <w:jc w:val="left"/>
              <w:rPr>
                <w:sz w:val="22"/>
                <w:szCs w:val="22"/>
              </w:rPr>
            </w:pPr>
            <w:r>
              <w:rPr>
                <w:rFonts w:hint="eastAsia"/>
                <w:sz w:val="22"/>
                <w:szCs w:val="22"/>
              </w:rPr>
              <w:t>QMS</w:t>
            </w:r>
          </w:p>
        </w:tc>
        <w:tc>
          <w:tcPr>
            <w:tcW w:w="4021" w:type="dxa"/>
            <w:gridSpan w:val="3"/>
          </w:tcPr>
          <w:p>
            <w:pPr>
              <w:snapToGrid w:val="0"/>
              <w:spacing w:line="0" w:lineRule="atLeast"/>
              <w:jc w:val="left"/>
              <w:rPr>
                <w:sz w:val="21"/>
                <w:szCs w:val="16"/>
              </w:rPr>
            </w:pPr>
            <w:r>
              <w:rPr>
                <w:rFonts w:hint="eastAsia"/>
                <w:sz w:val="21"/>
                <w:szCs w:val="16"/>
              </w:rPr>
              <w:t>Sales of hardware products, instruments and environmental protection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p>
        </w:tc>
        <w:tc>
          <w:tcPr>
            <w:tcW w:w="3373" w:type="dxa"/>
          </w:tcPr>
          <w:p>
            <w:pPr>
              <w:snapToGrid w:val="0"/>
              <w:spacing w:line="0" w:lineRule="atLeast"/>
              <w:jc w:val="left"/>
              <w:rPr>
                <w:sz w:val="22"/>
                <w:szCs w:val="22"/>
              </w:rPr>
            </w:pPr>
            <w:r>
              <w:rPr>
                <w:rFonts w:hint="eastAsia"/>
                <w:sz w:val="22"/>
                <w:szCs w:val="22"/>
              </w:rPr>
              <w:t>Room 627, No. 85, Zhongshan East Road, Chang'an District, Shijiazhuang, Hebei</w:t>
            </w:r>
          </w:p>
        </w:tc>
        <w:tc>
          <w:tcPr>
            <w:tcW w:w="992" w:type="dxa"/>
          </w:tcPr>
          <w:p>
            <w:pPr>
              <w:snapToGrid w:val="0"/>
              <w:spacing w:line="0" w:lineRule="atLeast"/>
              <w:jc w:val="left"/>
              <w:rPr>
                <w:sz w:val="22"/>
                <w:szCs w:val="22"/>
              </w:rPr>
            </w:pPr>
            <w:r>
              <w:rPr>
                <w:rFonts w:hint="eastAsia"/>
                <w:sz w:val="22"/>
                <w:szCs w:val="22"/>
              </w:rPr>
              <w:t>EMS</w:t>
            </w:r>
          </w:p>
        </w:tc>
        <w:tc>
          <w:tcPr>
            <w:tcW w:w="4021" w:type="dxa"/>
            <w:gridSpan w:val="3"/>
          </w:tcPr>
          <w:p>
            <w:pPr>
              <w:snapToGrid w:val="0"/>
              <w:spacing w:line="0" w:lineRule="atLeast"/>
              <w:jc w:val="left"/>
              <w:rPr>
                <w:sz w:val="22"/>
                <w:szCs w:val="22"/>
              </w:rPr>
            </w:pPr>
            <w:r>
              <w:rPr>
                <w:rFonts w:hint="eastAsia"/>
                <w:sz w:val="22"/>
                <w:szCs w:val="22"/>
              </w:rPr>
              <w:t>Relevant environmental management activities of places involved in the</w:t>
            </w:r>
            <w:r>
              <w:rPr>
                <w:rFonts w:hint="eastAsia"/>
                <w:sz w:val="22"/>
                <w:szCs w:val="22"/>
                <w:lang w:val="en-US" w:eastAsia="zh-CN"/>
              </w:rPr>
              <w:t xml:space="preserve"> </w:t>
            </w:r>
            <w:r>
              <w:rPr>
                <w:rFonts w:hint="eastAsia"/>
                <w:sz w:val="22"/>
                <w:szCs w:val="22"/>
              </w:rPr>
              <w:t>Sales of hardware products, instruments and environmental protection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p>
        </w:tc>
        <w:tc>
          <w:tcPr>
            <w:tcW w:w="3373" w:type="dxa"/>
          </w:tcPr>
          <w:p>
            <w:pPr>
              <w:snapToGrid w:val="0"/>
              <w:spacing w:line="0" w:lineRule="atLeast"/>
              <w:jc w:val="left"/>
              <w:rPr>
                <w:sz w:val="22"/>
                <w:szCs w:val="22"/>
              </w:rPr>
            </w:pPr>
            <w:r>
              <w:rPr>
                <w:rFonts w:hint="eastAsia"/>
                <w:sz w:val="22"/>
                <w:szCs w:val="22"/>
              </w:rPr>
              <w:t>Room 627, No. 85, Zhongshan East Road, Chang'an District, Shijiazhuang, Hebei</w:t>
            </w:r>
          </w:p>
        </w:tc>
        <w:tc>
          <w:tcPr>
            <w:tcW w:w="992" w:type="dxa"/>
          </w:tcPr>
          <w:p>
            <w:pPr>
              <w:snapToGrid w:val="0"/>
              <w:spacing w:line="0" w:lineRule="atLeast"/>
              <w:jc w:val="left"/>
              <w:rPr>
                <w:sz w:val="22"/>
                <w:szCs w:val="22"/>
              </w:rPr>
            </w:pPr>
            <w:r>
              <w:rPr>
                <w:rFonts w:hint="eastAsia"/>
                <w:sz w:val="22"/>
                <w:szCs w:val="22"/>
              </w:rPr>
              <w:t>OHSMS</w:t>
            </w:r>
          </w:p>
        </w:tc>
        <w:tc>
          <w:tcPr>
            <w:tcW w:w="4021" w:type="dxa"/>
            <w:gridSpan w:val="3"/>
          </w:tcPr>
          <w:p>
            <w:pPr>
              <w:snapToGrid w:val="0"/>
              <w:spacing w:line="0" w:lineRule="atLeast"/>
              <w:jc w:val="left"/>
              <w:rPr>
                <w:sz w:val="22"/>
                <w:szCs w:val="22"/>
              </w:rPr>
            </w:pPr>
            <w:r>
              <w:rPr>
                <w:rFonts w:hint="eastAsia"/>
                <w:sz w:val="22"/>
                <w:szCs w:val="22"/>
              </w:rPr>
              <w:t>Relevant occupational health and safety management activities of the places involved in the</w:t>
            </w:r>
            <w:r>
              <w:rPr>
                <w:rFonts w:hint="eastAsia"/>
                <w:sz w:val="22"/>
                <w:szCs w:val="22"/>
                <w:lang w:val="en-US" w:eastAsia="zh-CN"/>
              </w:rPr>
              <w:t xml:space="preserve"> </w:t>
            </w:r>
            <w:r>
              <w:rPr>
                <w:rFonts w:hint="eastAsia"/>
                <w:sz w:val="22"/>
                <w:szCs w:val="22"/>
              </w:rPr>
              <w:t>Sales of hardware products, instruments and environmental protection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eastAsia="宋体"/>
          <w:lang w:val="en-GB" w:eastAsia="zh-CN"/>
        </w:rPr>
      </w:pPr>
      <w:bookmarkStart w:id="17" w:name="_GoBack"/>
      <w:r>
        <w:rPr>
          <w:rFonts w:hint="eastAsia" w:eastAsia="宋体"/>
          <w:lang w:val="en-GB" w:eastAsia="zh-CN"/>
        </w:rPr>
        <w:drawing>
          <wp:anchor distT="0" distB="0" distL="114300" distR="114300" simplePos="0" relativeHeight="251659264" behindDoc="0" locked="0" layoutInCell="1" allowOverlap="1">
            <wp:simplePos x="0" y="0"/>
            <wp:positionH relativeFrom="column">
              <wp:posOffset>-698500</wp:posOffset>
            </wp:positionH>
            <wp:positionV relativeFrom="paragraph">
              <wp:posOffset>-977900</wp:posOffset>
            </wp:positionV>
            <wp:extent cx="7655560" cy="11123930"/>
            <wp:effectExtent l="0" t="0" r="2540" b="1270"/>
            <wp:wrapNone/>
            <wp:docPr id="2" name="图片 2" descr="新文档 2023-02-15 13.37.52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3-02-15 13.37.52_19"/>
                    <pic:cNvPicPr>
                      <a:picLocks noChangeAspect="1"/>
                    </pic:cNvPicPr>
                  </pic:nvPicPr>
                  <pic:blipFill>
                    <a:blip r:embed="rId5"/>
                    <a:stretch>
                      <a:fillRect/>
                    </a:stretch>
                  </pic:blipFill>
                  <pic:spPr>
                    <a:xfrm>
                      <a:off x="0" y="0"/>
                      <a:ext cx="7655560" cy="11123930"/>
                    </a:xfrm>
                    <a:prstGeom prst="rect">
                      <a:avLst/>
                    </a:prstGeom>
                  </pic:spPr>
                </pic:pic>
              </a:graphicData>
            </a:graphic>
          </wp:anchor>
        </w:drawing>
      </w:r>
      <w:bookmarkEnd w:id="17"/>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012F4F6E"/>
    <w:rsid w:val="5BAC66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381</Words>
  <Characters>2172</Characters>
  <Lines>18</Lines>
  <Paragraphs>5</Paragraphs>
  <TotalTime>2</TotalTime>
  <ScaleCrop>false</ScaleCrop>
  <LinksUpToDate>false</LinksUpToDate>
  <CharactersWithSpaces>2548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2023-02-15T05:58:13Z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