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0025-2023-QF</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杭州美森香料有限公司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2023年02月11日 上午</w:t>
            </w:r>
            <w:r>
              <w:rPr>
                <w:rFonts w:hint="eastAsia" w:ascii="宋体"/>
                <w:b/>
                <w:color w:val="000000"/>
                <w:szCs w:val="21"/>
                <w:lang w:val="en-US" w:eastAsia="zh-CN"/>
              </w:rPr>
              <w:t>8:30</w:t>
            </w:r>
            <w:r>
              <w:rPr>
                <w:rFonts w:hint="eastAsia" w:ascii="宋体"/>
                <w:b/>
                <w:color w:val="000000"/>
                <w:szCs w:val="21"/>
              </w:rPr>
              <w:t>至2023年02月11日 上午</w:t>
            </w:r>
            <w:bookmarkEnd w:id="8"/>
            <w:r>
              <w:rPr>
                <w:rFonts w:hint="eastAsia" w:ascii="宋体"/>
                <w:b/>
                <w:color w:val="000000"/>
                <w:szCs w:val="21"/>
                <w:lang w:val="en-US" w:eastAsia="zh-CN"/>
              </w:rP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93"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ISO 22000</w:t>
            </w:r>
            <w:r>
              <w:rPr>
                <w:rFonts w:hint="eastAsia" w:ascii="宋体" w:hAnsi="宋体"/>
                <w:b/>
                <w:color w:val="000000"/>
                <w:szCs w:val="21"/>
                <w:lang w:val="de-DE" w:eastAsia="zh-CN"/>
              </w:rPr>
              <w:t>：</w:t>
            </w:r>
            <w:r>
              <w:rPr>
                <w:rFonts w:hint="eastAsia" w:ascii="宋体" w:hAnsi="宋体"/>
                <w:b/>
                <w:color w:val="000000"/>
                <w:szCs w:val="21"/>
                <w:lang w:val="de-DE"/>
              </w:rPr>
              <w:t xml:space="preserve">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431" w:type="dxa"/>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远程审核方式</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strike/>
                <w:dstrike w:val="0"/>
                <w:color w:val="0000FF"/>
                <w:szCs w:val="21"/>
              </w:rPr>
            </w:pPr>
            <w:r>
              <w:rPr>
                <w:rFonts w:hint="eastAsia" w:ascii="宋体"/>
                <w:b/>
                <w:strike/>
                <w:dstrike w:val="0"/>
                <w:color w:val="0000FF"/>
                <w:szCs w:val="21"/>
              </w:rPr>
              <w:t>信息安全的控制</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strike/>
                <w:dstrike w:val="0"/>
                <w:color w:val="0000FF"/>
                <w:szCs w:val="21"/>
              </w:rPr>
            </w:pPr>
            <w:r>
              <w:rPr>
                <w:rFonts w:hint="eastAsia" w:ascii="宋体"/>
                <w:b/>
                <w:strike/>
                <w:dstrike w:val="0"/>
                <w:color w:val="0000FF"/>
                <w:szCs w:val="21"/>
              </w:rPr>
              <w:t>远程审核资源</w:t>
            </w:r>
          </w:p>
        </w:tc>
        <w:tc>
          <w:tcPr>
            <w:tcW w:w="7431" w:type="dxa"/>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肖新龙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2020-N1FSMS-1232380</w:t>
            </w:r>
          </w:p>
        </w:tc>
        <w:tc>
          <w:tcPr>
            <w:tcW w:w="1140" w:type="dxa"/>
            <w:vAlign w:val="center"/>
          </w:tcPr>
          <w:p>
            <w:pPr>
              <w:spacing w:line="240" w:lineRule="exact"/>
              <w:jc w:val="center"/>
              <w:rPr>
                <w:b/>
                <w:color w:val="000000"/>
                <w:szCs w:val="21"/>
              </w:rPr>
            </w:pPr>
            <w:r>
              <w:rPr>
                <w:b/>
                <w:color w:val="000000"/>
                <w:szCs w:val="21"/>
              </w:rPr>
              <w:t>F:K-1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2022-N1QMS-4059498</w:t>
            </w:r>
          </w:p>
          <w:p>
            <w:pPr>
              <w:spacing w:line="240" w:lineRule="exact"/>
              <w:jc w:val="center"/>
              <w:rPr>
                <w:b/>
                <w:color w:val="000000"/>
                <w:szCs w:val="21"/>
              </w:rPr>
            </w:pPr>
            <w:r>
              <w:rPr>
                <w:b/>
                <w:color w:val="000000"/>
                <w:szCs w:val="21"/>
              </w:rPr>
              <w:t>2020-N1FSMS-3059498</w:t>
            </w:r>
          </w:p>
        </w:tc>
        <w:tc>
          <w:tcPr>
            <w:tcW w:w="1140" w:type="dxa"/>
            <w:vAlign w:val="center"/>
          </w:tcPr>
          <w:p>
            <w:pPr>
              <w:spacing w:line="240" w:lineRule="exact"/>
              <w:jc w:val="center"/>
              <w:rPr>
                <w:b/>
                <w:color w:val="000000"/>
                <w:szCs w:val="21"/>
              </w:rPr>
            </w:pPr>
            <w:r>
              <w:rPr>
                <w:b/>
                <w:color w:val="000000"/>
                <w:szCs w:val="21"/>
              </w:rPr>
              <w:t>Q:12.05.03</w:t>
            </w:r>
          </w:p>
          <w:p>
            <w:pPr>
              <w:spacing w:line="240" w:lineRule="exact"/>
              <w:jc w:val="center"/>
              <w:rPr>
                <w:b/>
                <w:color w:val="000000"/>
                <w:szCs w:val="21"/>
              </w:rPr>
            </w:pPr>
            <w:r>
              <w:rPr>
                <w:b/>
                <w:color w:val="000000"/>
                <w:szCs w:val="21"/>
              </w:rPr>
              <w:t>F:K-1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杭州美森香料有限公司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浙江省杭州市余杭区径山镇长乐村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311123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浙江省杭州市余杭区径山镇长乐村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311123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胡平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13819174352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应长远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胡平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3510155506@qq.com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食品用香精（液体）的生产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FF"/>
                <w:szCs w:val="18"/>
                <w:highlight w:val="none"/>
              </w:rPr>
            </w:pPr>
            <w:r>
              <w:rPr>
                <w:rFonts w:hint="eastAsia"/>
                <w:color w:val="0000FF"/>
                <w:szCs w:val="18"/>
                <w:highlight w:val="none"/>
              </w:rPr>
              <w:t>原辅料验收→消毒→配料→</w:t>
            </w:r>
            <w:r>
              <w:rPr>
                <w:rFonts w:hint="eastAsia"/>
                <w:color w:val="0000FF"/>
                <w:szCs w:val="18"/>
                <w:highlight w:val="none"/>
                <w:lang w:val="en-US" w:eastAsia="zh-CN"/>
              </w:rPr>
              <w:t>一次</w:t>
            </w:r>
            <w:r>
              <w:rPr>
                <w:rFonts w:hint="eastAsia"/>
                <w:color w:val="0000FF"/>
                <w:szCs w:val="18"/>
                <w:highlight w:val="none"/>
              </w:rPr>
              <w:t>过滤→混拌→</w:t>
            </w:r>
            <w:r>
              <w:rPr>
                <w:rFonts w:hint="eastAsia"/>
                <w:color w:val="0000FF"/>
                <w:szCs w:val="18"/>
                <w:highlight w:val="none"/>
                <w:lang w:val="en-US" w:eastAsia="zh-CN"/>
              </w:rPr>
              <w:t>二次</w:t>
            </w:r>
            <w:r>
              <w:rPr>
                <w:rFonts w:hint="eastAsia"/>
                <w:color w:val="0000FF"/>
                <w:szCs w:val="18"/>
                <w:highlight w:val="none"/>
              </w:rPr>
              <w:t>过滤→灌装→封口/印日期→装箱→入库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6" w:name="审核范围"/>
            <w:r>
              <w:t>食品用香精（液体）的生产</w:t>
            </w:r>
            <w:bookmarkEnd w:id="36"/>
          </w:p>
        </w:tc>
        <w:tc>
          <w:tcPr>
            <w:tcW w:w="2006" w:type="dxa"/>
            <w:gridSpan w:val="3"/>
            <w:vAlign w:val="center"/>
          </w:tcPr>
          <w:p>
            <w:pPr>
              <w:rPr>
                <w:rFonts w:ascii="宋体" w:hAnsi="宋体"/>
                <w:b/>
                <w:color w:val="000000"/>
                <w:szCs w:val="21"/>
              </w:rPr>
            </w:pPr>
            <w:bookmarkStart w:id="37" w:name="专业代码"/>
            <w:r>
              <w:t>Q：12.05.03</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r>
              <w:t>位于浙江省杭州市余杭区径山镇长乐村杭州美森香料有限公司</w:t>
            </w:r>
            <w:r>
              <w:rPr>
                <w:highlight w:val="none"/>
              </w:rPr>
              <w:t>生产车间液体香精的生产</w:t>
            </w:r>
          </w:p>
        </w:tc>
        <w:tc>
          <w:tcPr>
            <w:tcW w:w="2006" w:type="dxa"/>
            <w:gridSpan w:val="3"/>
            <w:vAlign w:val="center"/>
          </w:tcPr>
          <w:p>
            <w:pPr>
              <w:spacing w:line="400" w:lineRule="exact"/>
              <w:rPr>
                <w:rFonts w:ascii="宋体" w:hAnsi="宋体"/>
                <w:b/>
                <w:color w:val="000000"/>
                <w:szCs w:val="21"/>
              </w:rPr>
            </w:pPr>
            <w:r>
              <w:t>F：K-1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default"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eastAsia="zh-CN"/>
              </w:rPr>
              <w:t>——</w:t>
            </w:r>
            <w:r>
              <w:rPr>
                <w:rFonts w:hint="eastAsia" w:ascii="宋体"/>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highlight w:val="none"/>
              </w:rPr>
              <w:t>运作方式：</w:t>
            </w: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单班次生产</w:t>
            </w:r>
            <w:r>
              <w:rPr>
                <w:rFonts w:hint="eastAsia" w:ascii="宋体" w:hAnsi="宋体"/>
                <w:color w:val="000000"/>
                <w:spacing w:val="-10"/>
                <w:szCs w:val="21"/>
                <w:highlight w:val="none"/>
              </w:rPr>
              <w:t>□</w:t>
            </w:r>
            <w:r>
              <w:rPr>
                <w:rFonts w:hint="eastAsia" w:ascii="宋体" w:hAnsi="宋体"/>
                <w:color w:val="000000"/>
                <w:szCs w:val="21"/>
                <w:highlight w:val="none"/>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杭州美森香料有限公司</w:t>
            </w:r>
          </w:p>
          <w:p>
            <w:pPr>
              <w:pStyle w:val="2"/>
              <w:rPr>
                <w:lang w:val="de-DE" w:eastAsia="ja-JP"/>
              </w:rPr>
            </w:pPr>
            <w:r>
              <w:rPr>
                <w:sz w:val="21"/>
                <w:szCs w:val="21"/>
              </w:rPr>
              <w:t>浙江省杭州市余杭区径山镇长乐村</w:t>
            </w:r>
          </w:p>
        </w:tc>
        <w:tc>
          <w:tcPr>
            <w:tcW w:w="2267" w:type="dxa"/>
          </w:tcPr>
          <w:p>
            <w:pPr>
              <w:spacing w:before="40" w:after="40"/>
              <w:rPr>
                <w:rFonts w:eastAsia="黑体"/>
                <w:szCs w:val="21"/>
                <w:lang w:val="de-DE" w:eastAsia="ja-JP"/>
              </w:rPr>
            </w:pPr>
            <w:r>
              <w:rPr>
                <w:sz w:val="21"/>
                <w:szCs w:val="21"/>
              </w:rPr>
              <w:t>浙江省杭州市余杭区径山镇长乐村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23人</w:t>
            </w:r>
          </w:p>
        </w:tc>
        <w:tc>
          <w:tcPr>
            <w:tcW w:w="2803" w:type="dxa"/>
            <w:vAlign w:val="center"/>
          </w:tcPr>
          <w:p>
            <w:r>
              <w:t>Q：食品用香精（液体）的生产</w:t>
            </w:r>
          </w:p>
          <w:p>
            <w:pPr>
              <w:pStyle w:val="20"/>
              <w:rPr>
                <w:rFonts w:eastAsia="黑体" w:cs="Arial"/>
                <w:sz w:val="21"/>
                <w:szCs w:val="21"/>
                <w:lang w:val="en-US" w:eastAsia="ja-JP"/>
              </w:rPr>
            </w:pPr>
            <w:r>
              <w:t>F：位于浙江省杭州市余杭区径山镇长乐村杭州美森香料有限公司生产车间食品用香精（液体）的生产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hint="eastAsia" w:ascii="宋体" w:hAnsi="宋体"/>
          <w:b/>
          <w:color w:val="000000"/>
          <w:spacing w:val="-8"/>
          <w:szCs w:val="21"/>
          <w:u w:val="single"/>
          <w:lang w:val="en-US" w:eastAsia="zh-CN"/>
        </w:rPr>
      </w:pPr>
      <w:r>
        <w:rPr>
          <w:rFonts w:hint="eastAsia" w:ascii="宋体" w:hAnsi="宋体"/>
          <w:b/>
          <w:color w:val="000000"/>
          <w:spacing w:val="-8"/>
          <w:szCs w:val="21"/>
          <w:u w:val="single"/>
          <w:lang w:val="en-US" w:eastAsia="zh-CN"/>
        </w:rPr>
        <w:t>一阶段范围、总人数发生变更，见变更单</w:t>
      </w:r>
    </w:p>
    <w:p>
      <w:pPr>
        <w:pStyle w:val="2"/>
        <w:rPr>
          <w:rFonts w:hint="default"/>
          <w:lang w:val="en-US" w:eastAsia="zh-CN"/>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default" w:ascii="宋体" w:hAnsi="宋体" w:eastAsia="宋体"/>
                <w:color w:val="000000"/>
                <w:spacing w:val="-10"/>
                <w:szCs w:val="21"/>
                <w:lang w:val="en-US"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年12月28日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ascii="宋体" w:hAnsi="宋体"/>
                <w:color w:val="000000"/>
                <w:szCs w:val="21"/>
                <w:lang w:val="en-US" w:eastAsia="zh-CN"/>
              </w:rPr>
              <w:t>不适用</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原辅料验收，混拌，二次过滤，灌装，封口</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eastAsia="宋体"/>
                <w:color w:val="000000"/>
                <w:spacing w:val="-10"/>
                <w:szCs w:val="21"/>
                <w:lang w:val="en-US" w:eastAsia="zh-CN"/>
              </w:rPr>
              <w:t>——运输过程，按照手册8.2.4控制类型和程度的要求进行控制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是否满足生产/服务的需要且完好运行</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DBEEF3" w:themeFill="accent5"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房东管理</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是否满足产品检测的需要</w:t>
            </w:r>
          </w:p>
        </w:tc>
        <w:tc>
          <w:tcPr>
            <w:tcW w:w="1063" w:type="dxa"/>
            <w:shd w:val="clear" w:color="auto" w:fill="DBEEF3" w:themeFill="accent5" w:themeFillTint="32"/>
          </w:tcPr>
          <w:p>
            <w:pPr>
              <w:rPr>
                <w:rFonts w:hint="default" w:ascii="宋体" w:eastAsia="宋体"/>
                <w:color w:val="000000"/>
                <w:szCs w:val="21"/>
                <w:highlight w:val="none"/>
                <w:lang w:val="en-US" w:eastAsia="zh-CN"/>
              </w:rPr>
            </w:pPr>
            <w:r>
              <w:rPr>
                <w:rFonts w:hint="eastAsia" w:ascii="宋体"/>
                <w:color w:val="000000"/>
                <w:szCs w:val="21"/>
                <w:highlight w:val="none"/>
              </w:rPr>
              <w:sym w:font="Wingdings 2" w:char="0052"/>
            </w:r>
            <w:r>
              <w:rPr>
                <w:rFonts w:hint="eastAsia" w:ascii="宋体"/>
                <w:color w:val="000000"/>
                <w:szCs w:val="21"/>
                <w:highlight w:val="none"/>
              </w:rPr>
              <w:t>是</w:t>
            </w:r>
            <w:r>
              <w:rPr>
                <w:rFonts w:hint="eastAsia" w:ascii="宋体"/>
                <w:color w:val="000000"/>
                <w:szCs w:val="21"/>
                <w:highlight w:val="none"/>
                <w:lang w:eastAsia="zh-CN"/>
              </w:rPr>
              <w:t>，</w:t>
            </w:r>
            <w:r>
              <w:rPr>
                <w:rFonts w:hint="eastAsia" w:ascii="宋体"/>
                <w:color w:val="000000"/>
                <w:szCs w:val="21"/>
                <w:highlight w:val="none"/>
                <w:lang w:val="en-US" w:eastAsia="zh-CN"/>
              </w:rPr>
              <w:t>见问题清单</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所需工作环境</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是否满足生产/服务的需要</w:t>
            </w:r>
          </w:p>
        </w:tc>
        <w:tc>
          <w:tcPr>
            <w:tcW w:w="1063" w:type="dxa"/>
            <w:shd w:val="clear" w:color="auto" w:fill="DBEEF3" w:themeFill="accent5"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sym w:font="Wingdings 2" w:char="0052"/>
            </w:r>
            <w:r>
              <w:rPr>
                <w:rFonts w:hint="eastAsia" w:ascii="宋体" w:hAnsi="宋体"/>
                <w:color w:val="000000"/>
                <w:szCs w:val="21"/>
                <w:highlight w:val="none"/>
              </w:rPr>
              <w:t>是</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见问题清单</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pPr w:leftFromText="180" w:rightFromText="180" w:vertAnchor="text" w:horzAnchor="page" w:tblpX="1159" w:tblpY="313"/>
        <w:tblOverlap w:val="never"/>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73"/>
        <w:gridCol w:w="4490"/>
        <w:gridCol w:w="147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）对生产加工的外包委托方是否实施了有效的控制（适用时）</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不适用</w:t>
            </w:r>
            <w:r>
              <w:rPr>
                <w:rFonts w:hint="eastAsia" w:ascii="宋体" w:hAnsi="宋体"/>
                <w:color w:val="000000"/>
                <w:szCs w:val="21"/>
                <w:highlight w:val="none"/>
                <w:lang w:eastAsia="zh-CN"/>
              </w:rPr>
              <w:t>）</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eastAsia="zh-CN"/>
              </w:rPr>
              <w:sym w:font="Wingdings 2" w:char="00A3"/>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bCs/>
                <w:color w:val="auto"/>
                <w:sz w:val="20"/>
                <w:lang w:val="en-GB"/>
              </w:rPr>
              <w:t>成立了</w:t>
            </w:r>
            <w:r>
              <w:rPr>
                <w:rFonts w:hint="eastAsia" w:ascii="宋体" w:hAnsi="宋体"/>
                <w:bCs/>
                <w:color w:val="auto"/>
                <w:sz w:val="20"/>
              </w:rPr>
              <w:t>食品安全</w:t>
            </w:r>
            <w:r>
              <w:rPr>
                <w:rFonts w:hint="eastAsia" w:ascii="宋体" w:hAnsi="宋体"/>
                <w:bCs/>
                <w:color w:val="auto"/>
                <w:sz w:val="20"/>
                <w:lang w:val="en-GB"/>
              </w:rPr>
              <w:t>小组，进行了</w:t>
            </w:r>
            <w:r>
              <w:rPr>
                <w:rFonts w:hint="eastAsia" w:ascii="宋体" w:hAnsi="宋体"/>
                <w:bCs/>
                <w:color w:val="auto"/>
                <w:sz w:val="20"/>
              </w:rPr>
              <w:t>充分的</w:t>
            </w:r>
            <w:r>
              <w:rPr>
                <w:rFonts w:hint="eastAsia" w:ascii="宋体" w:hAnsi="宋体"/>
                <w:bCs/>
                <w:color w:val="auto"/>
                <w:sz w:val="20"/>
                <w:lang w:val="en-GB"/>
              </w:rPr>
              <w:t>食品安全危害分析</w:t>
            </w:r>
            <w:r>
              <w:rPr>
                <w:rFonts w:hint="eastAsia" w:ascii="宋体" w:hAnsi="宋体"/>
                <w:bCs/>
                <w:color w:val="auto"/>
                <w:sz w:val="20"/>
              </w:rPr>
              <w:t>和评估</w:t>
            </w:r>
          </w:p>
        </w:tc>
        <w:tc>
          <w:tcPr>
            <w:tcW w:w="1470" w:type="dxa"/>
            <w:shd w:val="clear" w:color="auto" w:fill="E6E0EC" w:themeFill="accent4" w:themeFillTint="32"/>
          </w:tcPr>
          <w:p>
            <w:pPr>
              <w:rPr>
                <w:rFonts w:hint="default" w:ascii="宋体" w:eastAsia="宋体"/>
                <w:color w:val="auto"/>
                <w:spacing w:val="-10"/>
                <w:szCs w:val="21"/>
                <w:lang w:val="en-US" w:eastAsia="zh-CN"/>
              </w:rPr>
            </w:pPr>
            <w:r>
              <w:rPr>
                <w:rFonts w:hint="eastAsia" w:ascii="宋体" w:hAnsi="宋体"/>
                <w:color w:val="auto"/>
                <w:spacing w:val="-10"/>
                <w:szCs w:val="21"/>
              </w:rPr>
              <w:t>☑</w:t>
            </w:r>
            <w:r>
              <w:rPr>
                <w:rFonts w:hint="eastAsia" w:ascii="宋体" w:hAnsi="宋体"/>
                <w:color w:val="auto"/>
                <w:szCs w:val="21"/>
              </w:rPr>
              <w:t>是</w:t>
            </w:r>
            <w:r>
              <w:rPr>
                <w:rFonts w:hint="eastAsia" w:ascii="宋体" w:hAnsi="宋体"/>
                <w:color w:val="auto"/>
                <w:szCs w:val="21"/>
                <w:lang w:val="en-US" w:eastAsia="zh-CN"/>
              </w:rPr>
              <w:t xml:space="preserve"> </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（4）</w:t>
            </w:r>
            <w:r>
              <w:rPr>
                <w:rFonts w:hint="eastAsia" w:ascii="宋体" w:hAnsi="宋体"/>
                <w:bCs/>
                <w:sz w:val="20"/>
                <w:highlight w:val="none"/>
                <w:lang w:val="en-GB"/>
              </w:rPr>
              <w:t>建立了应急准备、产品撤回/召回程序和可追溯性系统</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auto"/>
                <w:spacing w:val="-10"/>
                <w:szCs w:val="21"/>
                <w:lang w:eastAsia="zh-CN"/>
              </w:rPr>
              <w:sym w:font="Wingdings 2" w:char="0052"/>
            </w:r>
            <w:r>
              <w:rPr>
                <w:rFonts w:hint="eastAsia" w:ascii="宋体" w:hAnsi="宋体"/>
                <w:color w:val="auto"/>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470"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10</w:t>
            </w:r>
            <w:r>
              <w:rPr>
                <w:rFonts w:hint="eastAsia" w:ascii="宋体" w:hAnsi="宋体" w:eastAsia="宋体"/>
                <w:b w:val="0"/>
                <w:bCs/>
                <w:sz w:val="20"/>
                <w:highlight w:val="none"/>
                <w:lang w:val="en-GB" w:eastAsia="zh-CN"/>
              </w:rPr>
              <w:t>）企业是否组织了</w:t>
            </w:r>
            <w:r>
              <w:rPr>
                <w:rFonts w:hint="eastAsia" w:ascii="宋体" w:hAnsi="宋体" w:eastAsia="宋体"/>
                <w:b w:val="0"/>
                <w:bCs/>
                <w:sz w:val="20"/>
                <w:highlight w:val="none"/>
                <w:lang w:val="en-US" w:eastAsia="zh-CN"/>
              </w:rPr>
              <w:t>食品安全</w:t>
            </w:r>
            <w:r>
              <w:rPr>
                <w:rFonts w:hint="eastAsia" w:ascii="宋体" w:hAnsi="宋体" w:eastAsia="宋体"/>
                <w:b w:val="0"/>
                <w:bCs/>
                <w:sz w:val="20"/>
                <w:highlight w:val="none"/>
                <w:lang w:val="en-GB" w:eastAsia="zh-CN"/>
              </w:rPr>
              <w:t>知识的培训</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highlight w:val="none"/>
                <w:lang w:val="en-GB" w:eastAsia="zh-CN"/>
              </w:rPr>
            </w:pPr>
            <w:r>
              <w:rPr>
                <w:rFonts w:hint="eastAsia" w:ascii="宋体" w:hAnsi="宋体" w:eastAsia="宋体"/>
                <w:b w:val="0"/>
                <w:bCs/>
                <w:sz w:val="20"/>
                <w:highlight w:val="none"/>
                <w:lang w:val="en-GB" w:eastAsia="zh-CN"/>
              </w:rPr>
              <w:t>（</w:t>
            </w:r>
            <w:r>
              <w:rPr>
                <w:rFonts w:hint="eastAsia" w:ascii="宋体" w:hAnsi="宋体" w:eastAsia="宋体"/>
                <w:b w:val="0"/>
                <w:bCs/>
                <w:sz w:val="20"/>
                <w:highlight w:val="none"/>
                <w:lang w:val="en-US" w:eastAsia="zh-CN"/>
              </w:rPr>
              <w:t>1</w:t>
            </w:r>
            <w:r>
              <w:rPr>
                <w:rFonts w:hint="eastAsia" w:ascii="宋体" w:hAnsi="宋体"/>
                <w:b w:val="0"/>
                <w:bCs/>
                <w:sz w:val="20"/>
                <w:highlight w:val="none"/>
                <w:lang w:val="en-US" w:eastAsia="zh-CN"/>
              </w:rPr>
              <w:t>4</w:t>
            </w:r>
            <w:r>
              <w:rPr>
                <w:rFonts w:hint="eastAsia" w:ascii="宋体" w:hAnsi="宋体" w:eastAsia="宋体"/>
                <w:b w:val="0"/>
                <w:bCs/>
                <w:sz w:val="20"/>
                <w:highlight w:val="none"/>
                <w:lang w:val="en-GB" w:eastAsia="zh-CN"/>
              </w:rPr>
              <w:t>）有关员工是否进行了健康检查</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是</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trPr>
        <w:tc>
          <w:tcPr>
            <w:tcW w:w="2573"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lang w:val="en-US" w:eastAsia="zh-CN"/>
              </w:rPr>
              <w:t>显著危害</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6"/>
              <w:spacing w:line="360" w:lineRule="auto"/>
              <w:rPr>
                <w:rFonts w:hint="default" w:ascii="Times New Roman" w:hAnsi="Times New Roman" w:cs="Times New Roman"/>
                <w:highlight w:val="none"/>
                <w:lang w:val="en-US" w:eastAsia="zh-CN"/>
              </w:rPr>
            </w:pPr>
            <w:r>
              <w:rPr>
                <w:rFonts w:hint="eastAsia" w:cs="Times New Roman"/>
                <w:highlight w:val="none"/>
                <w:lang w:val="en-US" w:eastAsia="zh-CN"/>
              </w:rPr>
              <w:t>OPRP1</w:t>
            </w:r>
            <w:r>
              <w:rPr>
                <w:rFonts w:hint="eastAsia" w:ascii="Times New Roman" w:hAnsi="Times New Roman" w:cs="Times New Roman"/>
                <w:highlight w:val="none"/>
                <w:lang w:val="en-US" w:eastAsia="zh-CN"/>
              </w:rPr>
              <w:t>：</w:t>
            </w:r>
            <w:r>
              <w:rPr>
                <w:rFonts w:hint="eastAsia" w:cs="Times New Roman"/>
                <w:highlight w:val="none"/>
                <w:lang w:val="en-US" w:eastAsia="zh-CN"/>
              </w:rPr>
              <w:t>原</w:t>
            </w:r>
            <w:r>
              <w:rPr>
                <w:rFonts w:hint="default" w:ascii="Times New Roman" w:hAnsi="Times New Roman" w:cs="Times New Roman"/>
                <w:highlight w:val="none"/>
                <w:lang w:val="en-US" w:eastAsia="zh-CN"/>
              </w:rPr>
              <w:t>辅料验收</w:t>
            </w:r>
          </w:p>
          <w:p>
            <w:pPr>
              <w:pStyle w:val="6"/>
              <w:spacing w:line="360" w:lineRule="auto"/>
              <w:rPr>
                <w:rFonts w:hint="default" w:ascii="Times New Roman" w:hAnsi="Times New Roman" w:cs="Times New Roman"/>
                <w:highlight w:val="none"/>
                <w:lang w:val="en-US" w:eastAsia="zh-CN"/>
              </w:rPr>
            </w:pPr>
            <w:r>
              <w:rPr>
                <w:rFonts w:hint="eastAsia" w:cs="Times New Roman"/>
                <w:highlight w:val="none"/>
                <w:lang w:val="en-US" w:eastAsia="zh-CN"/>
              </w:rPr>
              <w:t>OPRP2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包装材料验收</w:t>
            </w:r>
          </w:p>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CCP</w:t>
            </w:r>
            <w:r>
              <w:rPr>
                <w:rFonts w:hint="eastAsia" w:cs="Times New Roman"/>
                <w:highlight w:val="none"/>
                <w:lang w:val="en-US" w:eastAsia="zh-CN"/>
              </w:rPr>
              <w:t>1</w:t>
            </w:r>
            <w:r>
              <w:rPr>
                <w:rFonts w:hint="eastAsia" w:ascii="Times New Roman" w:hAnsi="Times New Roman" w:cs="Times New Roman"/>
                <w:highlight w:val="none"/>
                <w:lang w:val="en-US" w:eastAsia="zh-CN"/>
              </w:rPr>
              <w:t>：</w:t>
            </w:r>
            <w:r>
              <w:rPr>
                <w:rFonts w:hint="eastAsia" w:cs="Times New Roman"/>
                <w:highlight w:val="none"/>
                <w:lang w:val="en-US" w:eastAsia="zh-CN"/>
              </w:rPr>
              <w:t>第二次过滤</w:t>
            </w:r>
          </w:p>
        </w:tc>
        <w:tc>
          <w:tcPr>
            <w:tcW w:w="1470"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关键限值（CL）</w:t>
            </w:r>
            <w:r>
              <w:rPr>
                <w:rFonts w:hint="eastAsia" w:ascii="宋体" w:hAnsi="宋体"/>
                <w:color w:val="000000"/>
                <w:szCs w:val="21"/>
                <w:highlight w:val="none"/>
                <w:lang w:val="en-US" w:eastAsia="zh-CN"/>
              </w:rPr>
              <w:t>/行动准则</w:t>
            </w:r>
            <w:r>
              <w:rPr>
                <w:rFonts w:hint="eastAsia" w:ascii="宋体" w:hAnsi="宋体"/>
                <w:color w:val="000000"/>
                <w:spacing w:val="-10"/>
                <w:szCs w:val="21"/>
                <w:highlight w:val="none"/>
              </w:rPr>
              <w:t>的识别</w:t>
            </w:r>
          </w:p>
        </w:tc>
        <w:tc>
          <w:tcPr>
            <w:tcW w:w="4490" w:type="dxa"/>
            <w:shd w:val="clear" w:color="auto" w:fill="E6E0EC" w:themeFill="accent4" w:themeFillTint="32"/>
          </w:tcPr>
          <w:p>
            <w:pPr>
              <w:pStyle w:val="6"/>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OPRP1</w:t>
            </w:r>
            <w:r>
              <w:rPr>
                <w:rFonts w:hint="eastAsia" w:ascii="Times New Roman" w:hAnsi="Times New Roman" w:cs="Times New Roman"/>
                <w:highlight w:val="none"/>
                <w:lang w:val="en-US" w:eastAsia="zh-CN"/>
              </w:rPr>
              <w:t>-行动准则：符合相关辅料标准</w:t>
            </w:r>
            <w:r>
              <w:rPr>
                <w:rFonts w:hint="eastAsia" w:cs="Times New Roman"/>
                <w:highlight w:val="none"/>
                <w:lang w:val="en-US" w:eastAsia="zh-CN"/>
              </w:rPr>
              <w:t>、来自合格供方</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hint="eastAsia" w:ascii="Times New Roman" w:hAnsi="Times New Roman" w:cs="Times New Roman"/>
                <w:highlight w:val="none"/>
                <w:lang w:val="en-US" w:eastAsia="zh-CN"/>
              </w:rPr>
            </w:pPr>
            <w:r>
              <w:rPr>
                <w:rFonts w:hint="default" w:ascii="Times New Roman" w:hAnsi="Times New Roman" w:cs="Times New Roman"/>
                <w:highlight w:val="none"/>
                <w:lang w:val="en-US" w:eastAsia="zh-CN"/>
              </w:rPr>
              <w:t>OPRP</w:t>
            </w:r>
            <w:r>
              <w:rPr>
                <w:rFonts w:hint="eastAsia" w:ascii="Times New Roman" w:hAnsi="Times New Roman" w:cs="Times New Roman"/>
                <w:highlight w:val="none"/>
                <w:lang w:val="en-US" w:eastAsia="zh-CN"/>
              </w:rPr>
              <w:t>2-行动准则：符合相关辅料标准</w:t>
            </w:r>
            <w:r>
              <w:rPr>
                <w:rFonts w:hint="eastAsia" w:cs="Times New Roman"/>
                <w:highlight w:val="none"/>
                <w:lang w:val="en-US" w:eastAsia="zh-CN"/>
              </w:rPr>
              <w:t>、来自合格供方</w:t>
            </w:r>
          </w:p>
          <w:p>
            <w:pPr>
              <w:pStyle w:val="6"/>
              <w:spacing w:line="360" w:lineRule="auto"/>
              <w:rPr>
                <w:rFonts w:hint="eastAsia" w:ascii="Times New Roman" w:hAnsi="Times New Roman" w:cs="Times New Roman"/>
                <w:highlight w:val="none"/>
                <w:lang w:val="en-US" w:eastAsia="zh-CN"/>
              </w:rPr>
            </w:pPr>
          </w:p>
          <w:p>
            <w:pPr>
              <w:pStyle w:val="6"/>
              <w:spacing w:line="360" w:lineRule="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CCP</w:t>
            </w:r>
            <w:r>
              <w:rPr>
                <w:rFonts w:hint="eastAsia" w:cs="Times New Roman"/>
                <w:highlight w:val="none"/>
                <w:lang w:val="en-US" w:eastAsia="zh-CN"/>
              </w:rPr>
              <w:t>1</w:t>
            </w:r>
            <w:r>
              <w:rPr>
                <w:rFonts w:hint="eastAsia" w:ascii="Times New Roman" w:hAnsi="Times New Roman" w:cs="Times New Roman"/>
                <w:highlight w:val="none"/>
                <w:lang w:val="en-US" w:eastAsia="zh-CN"/>
              </w:rPr>
              <w:t>-CL：过滤的目数为 80 目网，并确保滤网完整</w:t>
            </w:r>
          </w:p>
          <w:p>
            <w:pPr>
              <w:pStyle w:val="7"/>
              <w:pBdr>
                <w:top w:val="none" w:color="auto" w:sz="0" w:space="0"/>
                <w:left w:val="none" w:color="auto" w:sz="0" w:space="0"/>
                <w:bottom w:val="none" w:color="auto" w:sz="0" w:space="0"/>
                <w:right w:val="none" w:color="auto" w:sz="0" w:space="0"/>
              </w:pBdr>
              <w:tabs>
                <w:tab w:val="clear" w:pos="4153"/>
                <w:tab w:val="clear" w:pos="8306"/>
              </w:tabs>
              <w:snapToGrid/>
              <w:spacing w:line="240" w:lineRule="atLeast"/>
              <w:jc w:val="both"/>
              <w:rPr>
                <w:rFonts w:hint="eastAsia"/>
                <w:lang w:val="en-US" w:eastAsia="zh-CN"/>
              </w:rPr>
            </w:pPr>
          </w:p>
        </w:tc>
        <w:tc>
          <w:tcPr>
            <w:tcW w:w="147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hAnsi="宋体"/>
                <w:color w:val="000000"/>
                <w:spacing w:val="-10"/>
                <w:szCs w:val="21"/>
                <w:highlight w:val="none"/>
                <w:lang w:eastAsia="zh-CN"/>
              </w:rPr>
              <w:sym w:font="Wingdings 2" w:char="0052"/>
            </w:r>
            <w:r>
              <w:rPr>
                <w:rFonts w:hint="eastAsia" w:ascii="宋体" w:hAnsi="宋体"/>
                <w:color w:val="000000"/>
                <w:szCs w:val="21"/>
                <w:highlight w:val="none"/>
              </w:rPr>
              <w:t>合理</w:t>
            </w:r>
            <w:r>
              <w:rPr>
                <w:rFonts w:hint="eastAsia" w:ascii="宋体" w:hAnsi="宋体"/>
                <w:color w:val="000000"/>
                <w:szCs w:val="21"/>
                <w:highlight w:val="none"/>
                <w:lang w:val="en-US" w:eastAsia="zh-CN"/>
              </w:rPr>
              <w:t xml:space="preserve"> </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外包过程的识别</w:t>
            </w:r>
          </w:p>
        </w:tc>
        <w:tc>
          <w:tcPr>
            <w:tcW w:w="4490" w:type="dxa"/>
            <w:shd w:val="clear" w:color="auto" w:fill="E6E0EC" w:themeFill="accent4" w:themeFillTint="32"/>
          </w:tcPr>
          <w:p>
            <w:pPr>
              <w:widowControl/>
              <w:jc w:val="left"/>
              <w:rPr>
                <w:rFonts w:hint="default" w:ascii="宋体" w:eastAsia="宋体"/>
                <w:color w:val="000000"/>
                <w:spacing w:val="-10"/>
                <w:szCs w:val="21"/>
                <w:highlight w:val="none"/>
                <w:lang w:val="en-US" w:eastAsia="zh-CN"/>
              </w:rPr>
            </w:pPr>
            <w:r>
              <w:rPr>
                <w:rFonts w:hint="eastAsia"/>
                <w:color w:val="0000FF"/>
                <w:szCs w:val="18"/>
                <w:u w:val="none"/>
                <w:lang w:eastAsia="zh-CN"/>
              </w:rPr>
              <w:t>——</w:t>
            </w:r>
            <w:r>
              <w:rPr>
                <w:rFonts w:hint="eastAsia"/>
                <w:color w:val="0000FF"/>
                <w:szCs w:val="18"/>
                <w:u w:val="none"/>
                <w:lang w:val="en-US" w:eastAsia="zh-CN"/>
              </w:rPr>
              <w:t>运输过程，按照手册8.2.4控制类型和程度的要求进行控制</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2573" w:type="dxa"/>
            <w:shd w:val="clear" w:color="auto" w:fill="E6E0EC" w:themeFill="accent4" w:themeFillTint="32"/>
            <w:vAlign w:val="center"/>
          </w:tcPr>
          <w:p>
            <w:pPr>
              <w:rPr>
                <w:rFonts w:ascii="宋体" w:hAnsi="宋体"/>
                <w:color w:val="000000"/>
                <w:spacing w:val="-10"/>
                <w:szCs w:val="21"/>
                <w:highlight w:val="none"/>
              </w:rPr>
            </w:pPr>
            <w:r>
              <w:rPr>
                <w:rFonts w:hint="eastAsia" w:ascii="宋体" w:hAnsi="宋体"/>
                <w:bCs/>
                <w:sz w:val="20"/>
                <w:highlight w:val="none"/>
                <w:lang w:val="en-GB"/>
              </w:rPr>
              <w:t>食品添加剂使用的类别</w:t>
            </w:r>
          </w:p>
        </w:tc>
        <w:tc>
          <w:tcPr>
            <w:tcW w:w="4490" w:type="dxa"/>
            <w:shd w:val="clear" w:color="auto" w:fill="E6E0EC" w:themeFill="accent4" w:themeFillTint="32"/>
          </w:tcPr>
          <w:p>
            <w:pPr>
              <w:rPr>
                <w:rFonts w:hint="default" w:ascii="宋体"/>
                <w:color w:val="000000"/>
                <w:spacing w:val="-10"/>
                <w:szCs w:val="21"/>
                <w:highlight w:val="none"/>
                <w:lang w:val="en-US"/>
              </w:rPr>
            </w:pPr>
            <w:r>
              <w:rPr>
                <w:rFonts w:hint="eastAsia" w:ascii="宋体"/>
                <w:color w:val="000000"/>
                <w:spacing w:val="-10"/>
                <w:szCs w:val="21"/>
                <w:highlight w:val="none"/>
                <w:lang w:val="en-US" w:eastAsia="zh-CN"/>
              </w:rPr>
              <w:t>产品自身为食品添加剂类</w:t>
            </w:r>
          </w:p>
        </w:tc>
        <w:tc>
          <w:tcPr>
            <w:tcW w:w="1470" w:type="dxa"/>
            <w:shd w:val="clear" w:color="auto" w:fill="E6E0EC" w:themeFill="accent4"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23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573" w:type="dxa"/>
            <w:shd w:val="clear" w:color="auto" w:fill="E6E0EC" w:themeFill="accent4" w:themeFillTint="32"/>
            <w:vAlign w:val="center"/>
          </w:tcPr>
          <w:p>
            <w:pPr>
              <w:rPr>
                <w:rFonts w:ascii="宋体"/>
                <w:color w:val="000000"/>
                <w:spacing w:val="-10"/>
                <w:szCs w:val="21"/>
                <w:highlight w:val="none"/>
              </w:rPr>
            </w:pPr>
            <w:r>
              <w:rPr>
                <w:rFonts w:hint="eastAsia" w:ascii="宋体" w:hAnsi="宋体"/>
                <w:color w:val="000000"/>
                <w:szCs w:val="21"/>
                <w:highlight w:val="none"/>
              </w:rPr>
              <w:t>基础设施管理</w:t>
            </w:r>
          </w:p>
        </w:tc>
        <w:tc>
          <w:tcPr>
            <w:tcW w:w="4490" w:type="dxa"/>
            <w:shd w:val="clear" w:color="auto" w:fill="E6E0EC" w:themeFill="accent4" w:themeFillTint="32"/>
          </w:tcPr>
          <w:p>
            <w:pPr>
              <w:rPr>
                <w:rFonts w:hint="default" w:ascii="宋体" w:eastAsia="宋体"/>
                <w:color w:val="000000"/>
                <w:spacing w:val="-10"/>
                <w:szCs w:val="21"/>
                <w:highlight w:val="none"/>
                <w:lang w:val="en-US" w:eastAsia="zh-CN"/>
              </w:rPr>
            </w:pPr>
            <w:r>
              <w:rPr>
                <w:rFonts w:hint="eastAsia" w:ascii="宋体" w:hAnsi="宋体"/>
                <w:color w:val="000000"/>
                <w:szCs w:val="21"/>
                <w:highlight w:val="none"/>
              </w:rPr>
              <w:t>是否满足生产/服务的需要且完好运行</w:t>
            </w:r>
          </w:p>
        </w:tc>
        <w:tc>
          <w:tcPr>
            <w:tcW w:w="1470" w:type="dxa"/>
            <w:shd w:val="clear" w:color="auto" w:fill="E6E0EC" w:themeFill="accent4" w:themeFillTint="32"/>
          </w:tcPr>
          <w:p>
            <w:pPr>
              <w:rPr>
                <w:rFonts w:hint="default" w:ascii="宋体" w:hAnsi="宋体" w:eastAsia="宋体"/>
                <w:color w:val="000000"/>
                <w:szCs w:val="21"/>
                <w:highlight w:val="none"/>
                <w:lang w:val="en-US" w:eastAsia="zh-CN"/>
              </w:rPr>
            </w:pPr>
            <w:r>
              <w:rPr>
                <w:rFonts w:hint="eastAsia" w:ascii="宋体" w:hAnsi="宋体"/>
                <w:color w:val="000000"/>
                <w:szCs w:val="21"/>
                <w:highlight w:val="none"/>
              </w:rPr>
              <w:t>☑是</w:t>
            </w:r>
            <w:r>
              <w:rPr>
                <w:rFonts w:hint="eastAsia" w:ascii="宋体" w:hAnsi="宋体"/>
                <w:color w:val="000000"/>
                <w:szCs w:val="21"/>
                <w:highlight w:val="none"/>
                <w:lang w:val="en-US" w:eastAsia="zh-CN"/>
              </w:rPr>
              <w:t xml:space="preserve"> </w:t>
            </w:r>
          </w:p>
        </w:tc>
        <w:tc>
          <w:tcPr>
            <w:tcW w:w="1230"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2573" w:type="dxa"/>
            <w:shd w:val="clear" w:color="auto" w:fill="E6E0EC" w:themeFill="accent4"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49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470"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lang w:eastAsia="zh-CN"/>
              </w:rPr>
              <w:sym w:font="Wingdings 2" w:char="0052"/>
            </w:r>
            <w:r>
              <w:rPr>
                <w:rFonts w:hint="eastAsia" w:ascii="宋体" w:hAnsi="宋体"/>
                <w:color w:val="000000"/>
                <w:szCs w:val="21"/>
                <w:highlight w:val="none"/>
              </w:rPr>
              <w:t>是</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房东进行管理</w:t>
            </w:r>
            <w:r>
              <w:rPr>
                <w:rFonts w:hint="eastAsia" w:ascii="宋体" w:hAnsi="宋体"/>
                <w:color w:val="000000"/>
                <w:szCs w:val="21"/>
                <w:highlight w:val="none"/>
              </w:rPr>
              <w:t xml:space="preserve">     </w:t>
            </w:r>
          </w:p>
        </w:tc>
        <w:tc>
          <w:tcPr>
            <w:tcW w:w="1230" w:type="dxa"/>
            <w:shd w:val="clear" w:color="auto" w:fill="E6E0EC" w:themeFill="accent4" w:themeFillTint="32"/>
          </w:tcPr>
          <w:p>
            <w:pPr>
              <w:rPr>
                <w:rFonts w:hint="eastAsia" w:ascii="宋体" w:hAnsi="宋体" w:eastAsia="宋体"/>
                <w:color w:val="000000"/>
                <w:szCs w:val="21"/>
                <w:highlight w:val="none"/>
                <w:lang w:eastAsia="zh-CN"/>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490" w:type="dxa"/>
            <w:shd w:val="clear" w:color="auto" w:fill="E6E0EC" w:themeFill="accent4" w:themeFillTint="32"/>
            <w:vAlign w:val="center"/>
          </w:tcPr>
          <w:p>
            <w:pPr>
              <w:jc w:val="left"/>
              <w:rPr>
                <w:rFonts w:ascii="宋体"/>
                <w:color w:val="000000"/>
                <w:szCs w:val="21"/>
                <w:highlight w:val="none"/>
              </w:rPr>
            </w:pPr>
            <w:r>
              <w:rPr>
                <w:rFonts w:hint="eastAsia" w:ascii="宋体"/>
                <w:color w:val="000000"/>
                <w:szCs w:val="21"/>
                <w:highlight w:val="none"/>
              </w:rPr>
              <w:t>是否满足产品检测的需要</w:t>
            </w:r>
          </w:p>
        </w:tc>
        <w:tc>
          <w:tcPr>
            <w:tcW w:w="1470" w:type="dxa"/>
            <w:shd w:val="clear" w:color="auto" w:fill="E6E0EC" w:themeFill="accent4" w:themeFillTint="32"/>
          </w:tcPr>
          <w:p>
            <w:pPr>
              <w:rPr>
                <w:rFonts w:ascii="宋体"/>
                <w:color w:val="000000"/>
                <w:szCs w:val="21"/>
                <w:highlight w:val="none"/>
              </w:rPr>
            </w:pPr>
            <w:r>
              <w:rPr>
                <w:rFonts w:hint="eastAsia" w:ascii="宋体"/>
                <w:color w:val="000000"/>
                <w:szCs w:val="21"/>
                <w:highlight w:val="none"/>
                <w:lang w:eastAsia="zh-CN"/>
              </w:rPr>
              <w:sym w:font="Wingdings 2" w:char="0052"/>
            </w:r>
            <w:r>
              <w:rPr>
                <w:rFonts w:hint="eastAsia" w:ascii="宋体"/>
                <w:color w:val="000000"/>
                <w:szCs w:val="21"/>
                <w:highlight w:val="none"/>
              </w:rPr>
              <w:t>是</w:t>
            </w:r>
            <w:r>
              <w:rPr>
                <w:rFonts w:hint="eastAsia" w:ascii="宋体"/>
                <w:color w:val="000000"/>
                <w:szCs w:val="21"/>
                <w:highlight w:val="none"/>
                <w:lang w:val="en-US" w:eastAsia="zh-CN"/>
              </w:rPr>
              <w:t xml:space="preserve"> ，见问题清单</w:t>
            </w:r>
            <w:r>
              <w:rPr>
                <w:rFonts w:hint="eastAsia" w:ascii="宋体"/>
                <w:color w:val="000000"/>
                <w:szCs w:val="21"/>
                <w:highlight w:val="none"/>
              </w:rPr>
              <w:t xml:space="preserve"> </w:t>
            </w:r>
          </w:p>
        </w:tc>
        <w:tc>
          <w:tcPr>
            <w:tcW w:w="1230" w:type="dxa"/>
            <w:shd w:val="clear" w:color="auto" w:fill="E6E0EC" w:themeFill="accent4" w:themeFillTint="32"/>
          </w:tcPr>
          <w:p>
            <w:pPr>
              <w:rPr>
                <w:rFonts w:hint="default" w:ascii="宋体"/>
                <w:color w:val="000000"/>
                <w:szCs w:val="21"/>
                <w:highlight w:val="none"/>
                <w:lang w:val="en-US"/>
              </w:rPr>
            </w:pPr>
            <w:r>
              <w:rPr>
                <w:rFonts w:hint="eastAsia" w:ascii="宋体"/>
                <w:color w:val="000000"/>
                <w:szCs w:val="21"/>
                <w:highlight w:val="none"/>
              </w:rPr>
              <w:sym w:font="Wingdings 2" w:char="00A3"/>
            </w: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573" w:type="dxa"/>
            <w:shd w:val="clear" w:color="auto" w:fill="E6E0EC" w:themeFill="accent4" w:themeFillTint="32"/>
            <w:vAlign w:val="center"/>
          </w:tcPr>
          <w:p>
            <w:pPr>
              <w:rPr>
                <w:rFonts w:ascii="宋体"/>
                <w:color w:val="000000"/>
                <w:szCs w:val="21"/>
                <w:highlight w:val="none"/>
              </w:rPr>
            </w:pPr>
            <w:r>
              <w:rPr>
                <w:rFonts w:hint="eastAsia" w:ascii="宋体" w:hAnsi="宋体"/>
                <w:color w:val="000000"/>
                <w:szCs w:val="21"/>
                <w:highlight w:val="none"/>
              </w:rPr>
              <w:t>满足</w:t>
            </w:r>
            <w:r>
              <w:rPr>
                <w:rFonts w:hint="eastAsia" w:ascii="宋体" w:hAnsi="宋体"/>
                <w:color w:val="000000"/>
                <w:spacing w:val="-10"/>
                <w:szCs w:val="21"/>
                <w:highlight w:val="none"/>
              </w:rPr>
              <w:t>生产/服务</w:t>
            </w:r>
            <w:r>
              <w:rPr>
                <w:rFonts w:hint="eastAsia" w:ascii="宋体" w:hAnsi="宋体"/>
                <w:color w:val="000000"/>
                <w:szCs w:val="21"/>
                <w:highlight w:val="none"/>
              </w:rPr>
              <w:t>所需工作环境</w:t>
            </w:r>
          </w:p>
        </w:tc>
        <w:tc>
          <w:tcPr>
            <w:tcW w:w="4490"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 xml:space="preserve">是否满足生产/服务食品安全的需要               </w:t>
            </w:r>
          </w:p>
        </w:tc>
        <w:tc>
          <w:tcPr>
            <w:tcW w:w="1470"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☑是</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见问题清单</w:t>
            </w:r>
            <w:r>
              <w:rPr>
                <w:rFonts w:hint="eastAsia" w:ascii="宋体"/>
                <w:color w:val="000000"/>
                <w:szCs w:val="21"/>
                <w:highlight w:val="none"/>
                <w:lang w:val="en-US" w:eastAsia="zh-CN"/>
              </w:rPr>
              <w:t xml:space="preserve"> </w:t>
            </w:r>
            <w:r>
              <w:rPr>
                <w:rFonts w:hint="eastAsia" w:ascii="宋体" w:hAnsi="宋体"/>
                <w:color w:val="000000"/>
                <w:szCs w:val="21"/>
                <w:highlight w:val="none"/>
              </w:rPr>
              <w:t xml:space="preserve"> </w:t>
            </w:r>
          </w:p>
        </w:tc>
        <w:tc>
          <w:tcPr>
            <w:tcW w:w="1230" w:type="dxa"/>
            <w:shd w:val="clear" w:color="auto" w:fill="E6E0EC" w:themeFill="accent4"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73"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47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230"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47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2573" w:type="dxa"/>
            <w:vMerge w:val="continue"/>
            <w:shd w:val="clear" w:color="auto" w:fill="E6E0EC" w:themeFill="accent4" w:themeFillTint="32"/>
          </w:tcPr>
          <w:p>
            <w:pPr>
              <w:ind w:left="-1" w:leftChars="-1" w:hanging="1"/>
              <w:jc w:val="left"/>
              <w:rPr>
                <w:rFonts w:ascii="宋体"/>
                <w:color w:val="000000"/>
                <w:szCs w:val="21"/>
              </w:rPr>
            </w:pPr>
          </w:p>
        </w:tc>
        <w:tc>
          <w:tcPr>
            <w:tcW w:w="449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continue"/>
            <w:shd w:val="clear" w:color="auto" w:fill="E6E0EC" w:themeFill="accent4" w:themeFillTint="32"/>
          </w:tcPr>
          <w:p>
            <w:pPr>
              <w:ind w:left="168" w:leftChars="80"/>
              <w:rPr>
                <w:rFonts w:ascii="宋体"/>
                <w:color w:val="000000"/>
                <w:spacing w:val="-10"/>
                <w:szCs w:val="21"/>
              </w:rPr>
            </w:pPr>
          </w:p>
        </w:tc>
        <w:tc>
          <w:tcPr>
            <w:tcW w:w="4490"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470"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continue"/>
            <w:shd w:val="clear" w:color="auto" w:fill="E6E0EC" w:themeFill="accent4" w:themeFillTint="32"/>
          </w:tcPr>
          <w:p>
            <w:pPr>
              <w:rPr>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vMerge w:val="continue"/>
            <w:shd w:val="clear" w:color="auto" w:fill="E6E0EC" w:themeFill="accent4" w:themeFillTint="32"/>
          </w:tcPr>
          <w:p>
            <w:pPr>
              <w:rPr>
                <w:rFonts w:ascii="宋体" w:hAnsi="宋体"/>
                <w:color w:val="000000"/>
                <w:szCs w:val="21"/>
              </w:rPr>
            </w:pPr>
          </w:p>
        </w:tc>
        <w:tc>
          <w:tcPr>
            <w:tcW w:w="4490"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47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230"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2573"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190"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40" w:after="40"/>
        <w:rPr>
          <w:rFonts w:eastAsia="黑体"/>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8" w:name="二阶段审核日期"/>
            <w:r>
              <w:rPr>
                <w:rFonts w:hint="eastAsia" w:ascii="宋体"/>
                <w:b/>
                <w:color w:val="000000"/>
                <w:szCs w:val="21"/>
              </w:rPr>
              <w:t>2023-02-1</w:t>
            </w:r>
            <w:bookmarkEnd w:id="38"/>
            <w:r>
              <w:rPr>
                <w:rFonts w:hint="eastAsia" w:ascii="宋体"/>
                <w:b/>
                <w:color w:val="000000"/>
                <w:szCs w:val="21"/>
                <w:lang w:val="en-US" w:eastAsia="zh-CN"/>
              </w:rPr>
              <w:t>2上午8：30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51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gridCol w:w="73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widowControl/>
              <w:jc w:val="left"/>
              <w:rPr>
                <w:rFonts w:ascii="宋体"/>
                <w:b/>
                <w:color w:val="000000"/>
                <w:szCs w:val="21"/>
              </w:rPr>
            </w:pPr>
            <w:r>
              <w:rPr>
                <w:rFonts w:hint="eastAsia" w:ascii="宋体" w:hAnsi="宋体"/>
                <w:b/>
                <w:color w:val="000000"/>
                <w:szCs w:val="21"/>
              </w:rPr>
              <w:t>评价项目</w:t>
            </w:r>
          </w:p>
        </w:tc>
        <w:tc>
          <w:tcPr>
            <w:tcW w:w="733" w:type="dxa"/>
          </w:tcPr>
          <w:p>
            <w:pPr>
              <w:widowControl/>
              <w:jc w:val="left"/>
              <w:rPr>
                <w:rFonts w:ascii="宋体"/>
                <w:b/>
                <w:color w:val="000000"/>
                <w:szCs w:val="21"/>
              </w:rPr>
            </w:pPr>
          </w:p>
        </w:tc>
        <w:tc>
          <w:tcPr>
            <w:tcW w:w="90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6"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6"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33"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90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sym w:font="Wingdings 2" w:char="0052"/>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sym w:font="Wingdings 2" w:char="0052"/>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有一些问题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需改进</w:t>
            </w:r>
            <w:r>
              <w:rPr>
                <w:rFonts w:ascii="宋体" w:hAnsi="宋体"/>
                <w:b/>
                <w:color w:val="000000"/>
                <w:szCs w:val="21"/>
                <w:highlight w:val="none"/>
              </w:rPr>
              <w:t xml:space="preserve">, </w:t>
            </w:r>
            <w:r>
              <w:rPr>
                <w:rFonts w:hint="eastAsia" w:ascii="宋体" w:hAnsi="宋体"/>
                <w:b/>
                <w:color w:val="000000"/>
                <w:szCs w:val="21"/>
                <w:highlight w:val="none"/>
              </w:rPr>
              <w:t>二阶段审核前需完成“问题清单”的整改</w:t>
            </w:r>
            <w:r>
              <w:rPr>
                <w:rFonts w:ascii="宋体" w:hAnsi="宋体"/>
                <w:b/>
                <w:color w:val="000000"/>
                <w:szCs w:val="21"/>
                <w:highlight w:val="none"/>
              </w:rPr>
              <w:t>(</w:t>
            </w:r>
            <w:r>
              <w:rPr>
                <w:rFonts w:hint="eastAsia" w:ascii="宋体" w:hAnsi="宋体"/>
                <w:b/>
                <w:color w:val="000000"/>
                <w:szCs w:val="21"/>
                <w:highlight w:val="none"/>
              </w:rPr>
              <w:t>附件二</w:t>
            </w:r>
            <w:r>
              <w:rPr>
                <w:rFonts w:ascii="宋体" w:hAnsi="宋体"/>
                <w:b/>
                <w:color w:val="00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□有较多问题</w:t>
            </w:r>
            <w:r>
              <w:rPr>
                <w:rFonts w:hint="eastAsia" w:ascii="宋体" w:hAnsi="宋体"/>
                <w:b/>
                <w:color w:val="000000"/>
                <w:szCs w:val="21"/>
                <w:highlight w:val="none"/>
              </w:rPr>
              <w:t>存在</w:t>
            </w:r>
            <w:r>
              <w:rPr>
                <w:rFonts w:ascii="宋体" w:hAnsi="宋体"/>
                <w:b/>
                <w:color w:val="000000"/>
                <w:szCs w:val="21"/>
                <w:highlight w:val="none"/>
              </w:rPr>
              <w:t>,</w:t>
            </w:r>
            <w:r>
              <w:rPr>
                <w:rFonts w:hint="eastAsia" w:ascii="宋体" w:hAnsi="宋体"/>
                <w:b/>
                <w:color w:val="000000"/>
                <w:szCs w:val="21"/>
                <w:highlight w:val="none"/>
              </w:rPr>
              <w:t>不具备</w:t>
            </w:r>
            <w:r>
              <w:rPr>
                <w:rFonts w:ascii="宋体" w:hAnsi="宋体"/>
                <w:b/>
                <w:color w:val="000000"/>
                <w:szCs w:val="21"/>
                <w:highlight w:val="none"/>
              </w:rPr>
              <w:t xml:space="preserve">, </w:t>
            </w:r>
            <w:r>
              <w:rPr>
                <w:rFonts w:hint="eastAsia" w:ascii="宋体" w:hAnsi="宋体"/>
                <w:b/>
                <w:color w:val="000000"/>
                <w:szCs w:val="21"/>
                <w:highlight w:val="none"/>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D7D7D7" w:themeFill="background1" w:themeFillShade="D8"/>
          </w:tcPr>
          <w:p>
            <w:pPr>
              <w:spacing w:line="280" w:lineRule="exact"/>
              <w:rPr>
                <w:rFonts w:ascii="宋体" w:hAnsi="宋体"/>
                <w:b/>
                <w:strike/>
                <w:dstrike w:val="0"/>
                <w:color w:val="000000"/>
                <w:spacing w:val="-10"/>
                <w:szCs w:val="21"/>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7242" w:type="dxa"/>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7242" w:type="dxa"/>
            <w:tcMar>
              <w:left w:w="113" w:type="dxa"/>
            </w:tcMar>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7242" w:type="dxa"/>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strike/>
                <w:dstrike w:val="0"/>
                <w:color w:val="0000FF"/>
                <w:szCs w:val="21"/>
              </w:rPr>
            </w:pPr>
            <w:r>
              <w:rPr>
                <w:rFonts w:hint="eastAsia" w:ascii="宋体"/>
                <w:b/>
                <w:strike/>
                <w:dstrike w:val="0"/>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2"/>
            <w:shd w:val="clear" w:color="auto" w:fill="auto"/>
          </w:tcPr>
          <w:p>
            <w:pPr>
              <w:rPr>
                <w:rFonts w:ascii="宋体"/>
                <w:b/>
                <w:strike/>
                <w:dstrike w:val="0"/>
                <w:color w:val="0000FF"/>
                <w:szCs w:val="21"/>
              </w:rPr>
            </w:pPr>
            <w:r>
              <w:rPr>
                <w:rFonts w:hint="eastAsia" w:ascii="宋体"/>
                <w:b/>
                <w:strike/>
                <w:dstrike w:val="0"/>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highlight w:val="none"/>
        </w:rPr>
      </w:pPr>
      <w:r>
        <w:rPr>
          <w:rFonts w:hint="eastAsia" w:ascii="宋体" w:hAnsi="宋体"/>
          <w:b/>
          <w:color w:val="000000"/>
          <w:szCs w:val="21"/>
          <w:highlight w:val="none"/>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highlight w:val="none"/>
              </w:rPr>
            </w:pPr>
            <w:r>
              <w:rPr>
                <w:rFonts w:hint="eastAsia" w:ascii="宋体" w:hAnsi="宋体"/>
                <w:b/>
                <w:color w:val="000000"/>
                <w:szCs w:val="21"/>
                <w:highlight w:val="none"/>
              </w:rPr>
              <w:t>受审核组织</w:t>
            </w:r>
            <w:r>
              <w:rPr>
                <w:rFonts w:ascii="宋体" w:hAnsi="宋体"/>
                <w:b/>
                <w:color w:val="000000"/>
                <w:szCs w:val="21"/>
                <w:highlight w:val="none"/>
              </w:rPr>
              <w:t>(</w:t>
            </w:r>
            <w:r>
              <w:rPr>
                <w:rFonts w:hint="eastAsia" w:ascii="宋体" w:hAnsi="宋体"/>
                <w:b/>
                <w:color w:val="000000"/>
                <w:spacing w:val="-10"/>
                <w:szCs w:val="21"/>
                <w:highlight w:val="none"/>
                <w:lang w:val="de-DE"/>
              </w:rPr>
              <w:sym w:font="Wingdings 2" w:char="0052"/>
            </w:r>
            <w:r>
              <w:rPr>
                <w:rFonts w:ascii="宋体" w:hAnsi="宋体"/>
                <w:b/>
                <w:color w:val="000000"/>
                <w:szCs w:val="21"/>
                <w:highlight w:val="none"/>
              </w:rPr>
              <w:t>QMS/</w:t>
            </w:r>
            <w:r>
              <w:rPr>
                <w:rFonts w:hint="eastAsia" w:ascii="宋体" w:hAnsi="宋体"/>
                <w:b/>
                <w:color w:val="000000"/>
                <w:spacing w:val="-10"/>
                <w:szCs w:val="21"/>
                <w:highlight w:val="none"/>
                <w:lang w:val="de-DE"/>
              </w:rPr>
              <w:t>□5</w:t>
            </w:r>
            <w:r>
              <w:rPr>
                <w:rFonts w:ascii="宋体" w:hAnsi="宋体"/>
                <w:b/>
                <w:color w:val="000000"/>
                <w:spacing w:val="-10"/>
                <w:szCs w:val="21"/>
                <w:highlight w:val="none"/>
                <w:lang w:val="de-DE"/>
              </w:rPr>
              <w:t>0430</w:t>
            </w:r>
            <w:r>
              <w:rPr>
                <w:rFonts w:ascii="宋体" w:hAnsi="宋体"/>
                <w:b/>
                <w:color w:val="000000"/>
                <w:szCs w:val="21"/>
                <w:highlight w:val="none"/>
              </w:rPr>
              <w:t xml:space="preserve"> /</w:t>
            </w:r>
            <w:r>
              <w:rPr>
                <w:rFonts w:hint="eastAsia" w:ascii="宋体" w:hAnsi="宋体"/>
                <w:b/>
                <w:color w:val="000000"/>
                <w:spacing w:val="-10"/>
                <w:szCs w:val="21"/>
                <w:highlight w:val="none"/>
                <w:lang w:val="de-DE"/>
              </w:rPr>
              <w:t>□</w:t>
            </w:r>
            <w:r>
              <w:rPr>
                <w:rFonts w:ascii="宋体" w:hAnsi="宋体"/>
                <w:b/>
                <w:color w:val="000000"/>
                <w:szCs w:val="21"/>
                <w:highlight w:val="none"/>
              </w:rPr>
              <w:t>EMS/</w:t>
            </w:r>
            <w:r>
              <w:rPr>
                <w:rFonts w:hint="eastAsia" w:ascii="宋体" w:hAnsi="宋体"/>
                <w:b/>
                <w:color w:val="000000"/>
                <w:spacing w:val="-10"/>
                <w:szCs w:val="21"/>
                <w:highlight w:val="none"/>
                <w:lang w:val="de-DE"/>
              </w:rPr>
              <w:t>□</w:t>
            </w:r>
            <w:r>
              <w:rPr>
                <w:rFonts w:ascii="宋体" w:hAnsi="宋体"/>
                <w:b/>
                <w:color w:val="000000"/>
                <w:szCs w:val="21"/>
                <w:highlight w:val="none"/>
              </w:rPr>
              <w:t>OHSMS</w:t>
            </w:r>
            <w:r>
              <w:rPr>
                <w:rFonts w:hint="eastAsia" w:ascii="宋体" w:hAnsi="宋体"/>
                <w:b/>
                <w:color w:val="000000"/>
                <w:szCs w:val="21"/>
                <w:highlight w:val="none"/>
              </w:rPr>
              <w:t>/</w:t>
            </w:r>
            <w:r>
              <w:rPr>
                <w:rFonts w:hint="eastAsia" w:ascii="宋体" w:hAnsi="宋体"/>
                <w:b/>
                <w:color w:val="000000"/>
                <w:spacing w:val="-10"/>
                <w:szCs w:val="21"/>
                <w:highlight w:val="none"/>
                <w:lang w:val="de-DE"/>
              </w:rPr>
              <w:t>□</w:t>
            </w:r>
            <w:r>
              <w:rPr>
                <w:rFonts w:ascii="宋体" w:hAnsi="宋体"/>
                <w:b/>
                <w:color w:val="000000"/>
                <w:szCs w:val="21"/>
                <w:highlight w:val="none"/>
              </w:rPr>
              <w:t>EnMS)/</w:t>
            </w:r>
            <w:r>
              <w:rPr>
                <w:rFonts w:hint="eastAsia" w:ascii="宋体" w:hAnsi="宋体"/>
                <w:b/>
                <w:color w:val="000000"/>
                <w:spacing w:val="-10"/>
                <w:szCs w:val="21"/>
                <w:highlight w:val="none"/>
                <w:lang w:val="de-DE"/>
              </w:rPr>
              <w:sym w:font="Wingdings 2" w:char="0052"/>
            </w:r>
            <w:r>
              <w:rPr>
                <w:rFonts w:hint="eastAsia" w:ascii="宋体" w:hAnsi="宋体"/>
                <w:b/>
                <w:color w:val="000000"/>
                <w:szCs w:val="21"/>
                <w:highlight w:val="none"/>
              </w:rPr>
              <w:t>FS</w:t>
            </w:r>
            <w:r>
              <w:rPr>
                <w:rFonts w:ascii="宋体" w:hAnsi="宋体"/>
                <w:b/>
                <w:color w:val="000000"/>
                <w:szCs w:val="21"/>
                <w:highlight w:val="none"/>
              </w:rPr>
              <w:t>MS/</w:t>
            </w: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HACCP</w:t>
            </w:r>
            <w:r>
              <w:rPr>
                <w:rFonts w:ascii="宋体" w:hAnsi="宋体"/>
                <w:b/>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rPr>
              <w:t>□审核</w:t>
            </w:r>
            <w:r>
              <w:rPr>
                <w:rFonts w:hint="eastAsia" w:ascii="宋体" w:hAnsi="宋体"/>
                <w:b/>
                <w:color w:val="000000"/>
                <w:szCs w:val="21"/>
                <w:highlight w:val="none"/>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rPr>
              <w:t>□</w:t>
            </w:r>
            <w:r>
              <w:rPr>
                <w:rFonts w:hint="eastAsia" w:ascii="宋体" w:hAnsi="宋体"/>
                <w:b/>
                <w:color w:val="000000"/>
                <w:spacing w:val="-10"/>
                <w:szCs w:val="21"/>
                <w:highlight w:val="none"/>
              </w:rPr>
              <w:t>审核</w:t>
            </w:r>
            <w:r>
              <w:rPr>
                <w:rFonts w:hint="eastAsia" w:ascii="宋体" w:hAnsi="宋体"/>
                <w:b/>
                <w:color w:val="000000"/>
                <w:szCs w:val="21"/>
                <w:highlight w:val="none"/>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highlight w:val="none"/>
              </w:rPr>
            </w:pPr>
          </w:p>
          <w:p>
            <w:pPr>
              <w:spacing w:line="280" w:lineRule="exact"/>
              <w:jc w:val="center"/>
              <w:rPr>
                <w:rFonts w:ascii="宋体"/>
                <w:b/>
                <w:color w:val="000000"/>
                <w:szCs w:val="21"/>
                <w:highlight w:val="none"/>
              </w:rPr>
            </w:pPr>
            <w:r>
              <w:rPr>
                <w:rFonts w:hint="eastAsia" w:ascii="宋体" w:hAnsi="宋体"/>
                <w:b/>
                <w:color w:val="000000"/>
                <w:szCs w:val="21"/>
                <w:highlight w:val="none"/>
              </w:rPr>
              <w:t>二阶段的管理体系审核范围</w:t>
            </w:r>
          </w:p>
        </w:tc>
        <w:tc>
          <w:tcPr>
            <w:tcW w:w="1029" w:type="dxa"/>
            <w:vAlign w:val="center"/>
          </w:tcPr>
          <w:p>
            <w:pPr>
              <w:spacing w:line="400" w:lineRule="exact"/>
              <w:rPr>
                <w:rFonts w:ascii="宋体"/>
                <w:b/>
                <w:color w:val="000000"/>
                <w:szCs w:val="21"/>
                <w:highlight w:val="none"/>
              </w:rPr>
            </w:pPr>
          </w:p>
        </w:tc>
        <w:tc>
          <w:tcPr>
            <w:tcW w:w="5841" w:type="dxa"/>
            <w:vAlign w:val="center"/>
          </w:tcPr>
          <w:p>
            <w:pPr>
              <w:spacing w:line="400" w:lineRule="exact"/>
              <w:rPr>
                <w:rFonts w:ascii="宋体" w:hAnsi="宋体"/>
                <w:b/>
                <w:color w:val="000000"/>
                <w:szCs w:val="21"/>
                <w:highlight w:val="none"/>
              </w:rPr>
            </w:pPr>
          </w:p>
        </w:tc>
        <w:tc>
          <w:tcPr>
            <w:tcW w:w="1541"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highlight w:val="none"/>
              </w:rPr>
            </w:pPr>
          </w:p>
        </w:tc>
        <w:tc>
          <w:tcPr>
            <w:tcW w:w="1029" w:type="dxa"/>
            <w:vAlign w:val="center"/>
          </w:tcPr>
          <w:p>
            <w:pPr>
              <w:spacing w:line="400" w:lineRule="exact"/>
              <w:rPr>
                <w:rFonts w:ascii="宋体"/>
                <w:b/>
                <w:color w:val="000000"/>
                <w:szCs w:val="21"/>
                <w:highlight w:val="none"/>
              </w:rPr>
            </w:pPr>
            <w:r>
              <w:rPr>
                <w:rFonts w:ascii="宋体" w:hAnsi="宋体"/>
                <w:b/>
                <w:color w:val="000000"/>
                <w:szCs w:val="21"/>
                <w:highlight w:val="none"/>
              </w:rPr>
              <w:t>QMS</w:t>
            </w:r>
          </w:p>
        </w:tc>
        <w:tc>
          <w:tcPr>
            <w:tcW w:w="5841" w:type="dxa"/>
            <w:vAlign w:val="center"/>
          </w:tcPr>
          <w:p>
            <w:pPr>
              <w:rPr>
                <w:rFonts w:ascii="宋体" w:hAnsi="宋体"/>
                <w:b/>
                <w:color w:val="000000"/>
                <w:szCs w:val="21"/>
                <w:highlight w:val="none"/>
              </w:rPr>
            </w:pPr>
            <w:r>
              <w:rPr>
                <w:highlight w:val="none"/>
              </w:rPr>
              <w:t>食品用香精（液体）的生产</w:t>
            </w:r>
          </w:p>
        </w:tc>
        <w:tc>
          <w:tcPr>
            <w:tcW w:w="1541" w:type="dxa"/>
            <w:vAlign w:val="center"/>
          </w:tcPr>
          <w:p>
            <w:pPr>
              <w:spacing w:line="400" w:lineRule="exact"/>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Ec</w:t>
            </w:r>
            <w:r>
              <w:rPr>
                <w:rFonts w:ascii="宋体" w:hAnsi="宋体"/>
                <w:b/>
                <w:color w:val="000000"/>
                <w:szCs w:val="21"/>
                <w:highlight w:val="none"/>
              </w:rPr>
              <w:t>MS</w:t>
            </w:r>
          </w:p>
        </w:tc>
        <w:tc>
          <w:tcPr>
            <w:tcW w:w="5841" w:type="dxa"/>
            <w:vAlign w:val="center"/>
          </w:tcPr>
          <w:p>
            <w:pPr>
              <w:spacing w:line="40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lang w:eastAsia="zh-CN"/>
              </w:rPr>
              <w:t>——</w:t>
            </w:r>
          </w:p>
        </w:tc>
        <w:tc>
          <w:tcPr>
            <w:tcW w:w="1541" w:type="dxa"/>
            <w:vAlign w:val="center"/>
          </w:tcPr>
          <w:p>
            <w:pPr>
              <w:spacing w:line="400" w:lineRule="exact"/>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ascii="宋体" w:hAnsi="宋体"/>
                <w:b/>
                <w:color w:val="000000"/>
                <w:szCs w:val="21"/>
                <w:highlight w:val="none"/>
              </w:rPr>
              <w:t>EMS</w:t>
            </w:r>
          </w:p>
        </w:tc>
        <w:tc>
          <w:tcPr>
            <w:tcW w:w="5841" w:type="dxa"/>
            <w:vAlign w:val="center"/>
          </w:tcPr>
          <w:p>
            <w:pPr>
              <w:spacing w:line="40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lang w:eastAsia="zh-CN"/>
              </w:rPr>
              <w:t>——</w:t>
            </w:r>
          </w:p>
        </w:tc>
        <w:tc>
          <w:tcPr>
            <w:tcW w:w="1541" w:type="dxa"/>
            <w:vAlign w:val="center"/>
          </w:tcPr>
          <w:p>
            <w:pPr>
              <w:spacing w:line="400" w:lineRule="exact"/>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ascii="宋体" w:hAnsi="宋体"/>
                <w:b/>
                <w:color w:val="000000"/>
                <w:szCs w:val="21"/>
                <w:highlight w:val="none"/>
              </w:rPr>
              <w:t>OHSMS</w:t>
            </w:r>
          </w:p>
        </w:tc>
        <w:tc>
          <w:tcPr>
            <w:tcW w:w="5841" w:type="dxa"/>
            <w:vAlign w:val="center"/>
          </w:tcPr>
          <w:p>
            <w:pPr>
              <w:spacing w:line="40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lang w:eastAsia="zh-CN"/>
              </w:rPr>
              <w:t>——</w:t>
            </w:r>
          </w:p>
        </w:tc>
        <w:tc>
          <w:tcPr>
            <w:tcW w:w="1541" w:type="dxa"/>
            <w:vAlign w:val="center"/>
          </w:tcPr>
          <w:p>
            <w:pPr>
              <w:spacing w:line="400" w:lineRule="exact"/>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EnMS</w:t>
            </w:r>
          </w:p>
        </w:tc>
        <w:tc>
          <w:tcPr>
            <w:tcW w:w="5841" w:type="dxa"/>
            <w:vAlign w:val="center"/>
          </w:tcPr>
          <w:p>
            <w:pPr>
              <w:spacing w:line="40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lang w:eastAsia="zh-CN"/>
              </w:rPr>
              <w:t>——</w:t>
            </w:r>
          </w:p>
        </w:tc>
        <w:tc>
          <w:tcPr>
            <w:tcW w:w="1541" w:type="dxa"/>
            <w:vAlign w:val="center"/>
          </w:tcPr>
          <w:p>
            <w:pPr>
              <w:spacing w:line="400" w:lineRule="exact"/>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F</w:t>
            </w:r>
            <w:r>
              <w:rPr>
                <w:rFonts w:ascii="宋体" w:hAnsi="宋体"/>
                <w:b/>
                <w:color w:val="000000"/>
                <w:szCs w:val="21"/>
                <w:highlight w:val="none"/>
              </w:rPr>
              <w:t>SMS</w:t>
            </w:r>
          </w:p>
        </w:tc>
        <w:tc>
          <w:tcPr>
            <w:tcW w:w="5841" w:type="dxa"/>
            <w:vAlign w:val="center"/>
          </w:tcPr>
          <w:p>
            <w:pPr>
              <w:spacing w:line="400" w:lineRule="exact"/>
              <w:rPr>
                <w:rFonts w:ascii="宋体" w:hAnsi="宋体"/>
                <w:b/>
                <w:color w:val="000000"/>
                <w:szCs w:val="21"/>
                <w:highlight w:val="none"/>
              </w:rPr>
            </w:pPr>
            <w:r>
              <w:rPr>
                <w:highlight w:val="none"/>
              </w:rPr>
              <w:t>位于浙江省杭州市余杭区径山镇长乐村杭州美森香料有限公司生产车间食品用香精（液体）的生产</w:t>
            </w:r>
          </w:p>
        </w:tc>
        <w:tc>
          <w:tcPr>
            <w:tcW w:w="1541" w:type="dxa"/>
            <w:vAlign w:val="center"/>
          </w:tcPr>
          <w:p>
            <w:pPr>
              <w:spacing w:line="400" w:lineRule="exact"/>
              <w:rPr>
                <w:rFonts w:ascii="宋体" w:hAnsi="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highlight w:val="none"/>
              </w:rPr>
            </w:pPr>
          </w:p>
        </w:tc>
        <w:tc>
          <w:tcPr>
            <w:tcW w:w="1029" w:type="dxa"/>
            <w:vAlign w:val="center"/>
          </w:tcPr>
          <w:p>
            <w:pPr>
              <w:spacing w:line="400" w:lineRule="exact"/>
              <w:rPr>
                <w:rFonts w:ascii="宋体" w:hAnsi="宋体"/>
                <w:b/>
                <w:color w:val="000000"/>
                <w:szCs w:val="21"/>
                <w:highlight w:val="none"/>
              </w:rPr>
            </w:pPr>
            <w:r>
              <w:rPr>
                <w:rFonts w:hint="eastAsia" w:ascii="宋体" w:hAnsi="宋体"/>
                <w:b/>
                <w:color w:val="000000"/>
                <w:szCs w:val="21"/>
                <w:highlight w:val="none"/>
              </w:rPr>
              <w:t>HACCP</w:t>
            </w:r>
          </w:p>
        </w:tc>
        <w:tc>
          <w:tcPr>
            <w:tcW w:w="5841" w:type="dxa"/>
            <w:vAlign w:val="center"/>
          </w:tcPr>
          <w:p>
            <w:pPr>
              <w:spacing w:line="400" w:lineRule="exact"/>
              <w:rPr>
                <w:rFonts w:hint="eastAsia" w:ascii="宋体" w:hAnsi="宋体" w:eastAsia="宋体"/>
                <w:b/>
                <w:color w:val="000000"/>
                <w:szCs w:val="21"/>
                <w:highlight w:val="none"/>
                <w:lang w:eastAsia="zh-CN"/>
              </w:rPr>
            </w:pPr>
            <w:r>
              <w:rPr>
                <w:rFonts w:hint="eastAsia" w:ascii="宋体" w:hAnsi="宋体"/>
                <w:b/>
                <w:color w:val="000000"/>
                <w:szCs w:val="21"/>
                <w:highlight w:val="none"/>
                <w:lang w:eastAsia="zh-CN"/>
              </w:rPr>
              <w:t>——</w:t>
            </w:r>
          </w:p>
        </w:tc>
        <w:tc>
          <w:tcPr>
            <w:tcW w:w="1541" w:type="dxa"/>
            <w:vAlign w:val="center"/>
          </w:tcPr>
          <w:p>
            <w:pPr>
              <w:spacing w:line="400" w:lineRule="exact"/>
              <w:rPr>
                <w:rFonts w:ascii="宋体" w:hAnsi="宋体"/>
                <w:b/>
                <w:color w:val="000000"/>
                <w:szCs w:val="21"/>
                <w:highlight w:val="none"/>
              </w:rPr>
            </w:pPr>
          </w:p>
        </w:tc>
      </w:tr>
    </w:tbl>
    <w:p>
      <w:pPr>
        <w:spacing w:before="156" w:beforeLines="50" w:after="62" w:afterLines="20" w:line="360" w:lineRule="exact"/>
        <w:rPr>
          <w:rFonts w:hint="eastAsia" w:ascii="宋体" w:hAnsi="宋体"/>
          <w:b/>
          <w:bCs/>
          <w:color w:val="000000"/>
          <w:szCs w:val="21"/>
        </w:rPr>
      </w:pPr>
      <w:r>
        <w:rPr>
          <w:rFonts w:hint="eastAsia" w:ascii="宋体" w:hAnsi="宋体"/>
          <w:b/>
          <w:bCs/>
          <w:color w:val="000000"/>
          <w:szCs w:val="21"/>
        </w:rPr>
        <w:t>十一、审核组签字</w:t>
      </w:r>
    </w:p>
    <w:p>
      <w:pPr>
        <w:pStyle w:val="2"/>
      </w:pPr>
    </w:p>
    <w:p>
      <w:pPr>
        <w:spacing w:line="400" w:lineRule="exact"/>
        <w:ind w:firstLine="843" w:firstLineChars="400"/>
        <w:rPr>
          <w:rFonts w:hint="eastAsia" w:ascii="宋体" w:hAns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肖新龙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b/>
          <w:color w:val="000000"/>
          <w:szCs w:val="21"/>
          <w:lang w:val="en-US" w:eastAsia="zh-CN"/>
        </w:rPr>
        <w:t>任泽华</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hint="default" w:eastAsia="隶书"/>
          <w:color w:val="000000"/>
          <w:sz w:val="21"/>
          <w:szCs w:val="21"/>
          <w:lang w:val="en-US" w:eastAsia="zh-CN"/>
        </w:rPr>
      </w:pPr>
      <w:r>
        <w:rPr>
          <w:rFonts w:hint="eastAsia" w:eastAsia="隶书"/>
          <w:color w:val="000000"/>
          <w:sz w:val="21"/>
          <w:szCs w:val="21"/>
        </w:rPr>
        <w:t>受审核方：</w:t>
      </w:r>
      <w:r>
        <w:rPr>
          <w:rFonts w:hint="eastAsia" w:eastAsia="隶书"/>
          <w:color w:val="000000"/>
          <w:sz w:val="21"/>
          <w:szCs w:val="21"/>
          <w:lang w:val="en-US" w:eastAsia="zh-CN"/>
        </w:rPr>
        <w:t>杭州美森香料有限公司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000"/>
        <w:gridCol w:w="1325"/>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78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2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ascii="宋体" w:hAnsi="Calibri" w:eastAsia="宋体" w:cs="Times New Roman"/>
                <w:color w:val="000000"/>
                <w:kern w:val="2"/>
                <w:sz w:val="21"/>
                <w:szCs w:val="21"/>
                <w:highlight w:val="none"/>
                <w:lang w:val="en-US" w:eastAsia="zh-CN" w:bidi="ar-SA"/>
              </w:rPr>
            </w:pPr>
            <w:r>
              <w:rPr>
                <w:rFonts w:hint="eastAsia" w:ascii="宋体"/>
                <w:color w:val="000000"/>
                <w:sz w:val="21"/>
                <w:szCs w:val="21"/>
                <w:highlight w:val="none"/>
              </w:rPr>
              <w:t>1</w:t>
            </w:r>
          </w:p>
        </w:tc>
        <w:tc>
          <w:tcPr>
            <w:tcW w:w="5788" w:type="dxa"/>
            <w:gridSpan w:val="2"/>
            <w:vAlign w:val="center"/>
          </w:tcPr>
          <w:p>
            <w:pPr>
              <w:pStyle w:val="7"/>
              <w:pBdr>
                <w:bottom w:val="none" w:color="auto" w:sz="0" w:space="0"/>
              </w:pBdr>
              <w:tabs>
                <w:tab w:val="center" w:pos="5737"/>
                <w:tab w:val="clear" w:pos="4153"/>
              </w:tabs>
              <w:jc w:val="both"/>
              <w:rPr>
                <w:rFonts w:ascii="Calibri" w:hAnsi="Calibri" w:eastAsia="宋体" w:cs="Times New Roman"/>
                <w:color w:val="000000"/>
                <w:kern w:val="2"/>
                <w:sz w:val="21"/>
                <w:szCs w:val="21"/>
                <w:highlight w:val="none"/>
                <w:lang w:val="en-US" w:eastAsia="zh-CN" w:bidi="ar-SA"/>
              </w:rPr>
            </w:pPr>
            <w:r>
              <w:rPr>
                <w:rFonts w:hint="eastAsia"/>
                <w:color w:val="000000"/>
                <w:sz w:val="21"/>
                <w:szCs w:val="21"/>
                <w:highlight w:val="none"/>
              </w:rPr>
              <w:t>危害控制计划中未对大豆油（原辅料）进行描述。</w:t>
            </w:r>
          </w:p>
        </w:tc>
        <w:tc>
          <w:tcPr>
            <w:tcW w:w="1325" w:type="dxa"/>
            <w:vAlign w:val="center"/>
          </w:tcPr>
          <w:p>
            <w:pPr>
              <w:pStyle w:val="7"/>
              <w:pBdr>
                <w:bottom w:val="none" w:color="auto" w:sz="0" w:space="0"/>
              </w:pBdr>
              <w:jc w:val="both"/>
              <w:rPr>
                <w:rFonts w:ascii="Calibri" w:hAnsi="Calibri" w:eastAsia="宋体" w:cs="Times New Roman"/>
                <w:color w:val="000000"/>
                <w:kern w:val="2"/>
                <w:sz w:val="21"/>
                <w:szCs w:val="21"/>
                <w:lang w:val="en-US" w:eastAsia="zh-CN" w:bidi="ar-SA"/>
              </w:rPr>
            </w:pPr>
            <w:r>
              <w:rPr>
                <w:rFonts w:hint="eastAsia"/>
                <w:color w:val="000000"/>
                <w:sz w:val="21"/>
                <w:szCs w:val="21"/>
              </w:rPr>
              <w:t>I</w:t>
            </w:r>
            <w:r>
              <w:rPr>
                <w:color w:val="000000"/>
                <w:sz w:val="21"/>
                <w:szCs w:val="21"/>
              </w:rPr>
              <w:t>SO22000</w:t>
            </w:r>
          </w:p>
        </w:tc>
        <w:tc>
          <w:tcPr>
            <w:tcW w:w="1133" w:type="dxa"/>
            <w:vAlign w:val="center"/>
          </w:tcPr>
          <w:p>
            <w:pPr>
              <w:pStyle w:val="7"/>
              <w:pBdr>
                <w:bottom w:val="none" w:color="auto" w:sz="0" w:space="0"/>
              </w:pBdr>
              <w:jc w:val="both"/>
              <w:rPr>
                <w:rFonts w:ascii="Calibri" w:hAnsi="Calibri" w:eastAsia="宋体" w:cs="Times New Roman"/>
                <w:color w:val="000000"/>
                <w:kern w:val="2"/>
                <w:sz w:val="21"/>
                <w:szCs w:val="21"/>
                <w:lang w:val="en-US" w:eastAsia="zh-CN" w:bidi="ar-SA"/>
              </w:rPr>
            </w:pPr>
            <w:r>
              <w:rPr>
                <w:rFonts w:hint="eastAsia"/>
                <w:color w:val="000000"/>
                <w:sz w:val="21"/>
                <w:szCs w:val="21"/>
              </w:rPr>
              <w:t>8</w:t>
            </w:r>
            <w:r>
              <w:rPr>
                <w:color w:val="000000"/>
                <w:sz w:val="21"/>
                <w:szCs w:val="21"/>
              </w:rPr>
              <w:t>.5.2</w:t>
            </w:r>
          </w:p>
        </w:tc>
        <w:tc>
          <w:tcPr>
            <w:tcW w:w="934" w:type="dxa"/>
            <w:vAlign w:val="center"/>
          </w:tcPr>
          <w:p>
            <w:pPr>
              <w:pStyle w:val="7"/>
              <w:pBdr>
                <w:bottom w:val="none" w:color="auto" w:sz="0" w:space="0"/>
              </w:pBdr>
              <w:ind w:right="600" w:rightChars="0"/>
              <w:jc w:val="both"/>
              <w:rPr>
                <w:rFonts w:ascii="Calibri" w:hAnsi="Calibri" w:eastAsia="宋体" w:cs="Times New Roman"/>
                <w:color w:val="000000"/>
                <w:kern w:val="2"/>
                <w:sz w:val="21"/>
                <w:szCs w:val="21"/>
                <w:lang w:val="en-US" w:eastAsia="zh-CN" w:bidi="ar-SA"/>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rightChars="0"/>
              <w:jc w:val="both"/>
              <w:rPr>
                <w:rFonts w:ascii="宋体" w:hAnsi="Calibri" w:eastAsia="宋体" w:cs="Times New Roman"/>
                <w:color w:val="000000"/>
                <w:kern w:val="2"/>
                <w:sz w:val="21"/>
                <w:szCs w:val="21"/>
                <w:highlight w:val="none"/>
                <w:lang w:val="en-US" w:eastAsia="zh-CN" w:bidi="ar-SA"/>
              </w:rPr>
            </w:pPr>
            <w:r>
              <w:rPr>
                <w:rFonts w:hint="eastAsia" w:ascii="宋体"/>
                <w:color w:val="000000"/>
                <w:sz w:val="21"/>
                <w:szCs w:val="21"/>
                <w:highlight w:val="none"/>
              </w:rPr>
              <w:t>2</w:t>
            </w:r>
          </w:p>
        </w:tc>
        <w:tc>
          <w:tcPr>
            <w:tcW w:w="5788" w:type="dxa"/>
            <w:gridSpan w:val="2"/>
            <w:vAlign w:val="center"/>
          </w:tcPr>
          <w:p>
            <w:pPr>
              <w:pStyle w:val="7"/>
              <w:pBdr>
                <w:bottom w:val="none" w:color="auto" w:sz="0" w:space="0"/>
              </w:pBdr>
              <w:tabs>
                <w:tab w:val="center" w:pos="5737"/>
                <w:tab w:val="clear" w:pos="4153"/>
              </w:tabs>
              <w:jc w:val="both"/>
              <w:rPr>
                <w:color w:val="000000"/>
                <w:sz w:val="21"/>
                <w:szCs w:val="21"/>
                <w:highlight w:val="none"/>
              </w:rPr>
            </w:pPr>
            <w:r>
              <w:rPr>
                <w:rFonts w:hint="eastAsia"/>
                <w:color w:val="000000"/>
                <w:sz w:val="21"/>
                <w:szCs w:val="21"/>
                <w:highlight w:val="none"/>
              </w:rPr>
              <w:t>现场发现：</w:t>
            </w:r>
          </w:p>
          <w:p>
            <w:pPr>
              <w:pStyle w:val="7"/>
              <w:numPr>
                <w:ilvl w:val="0"/>
                <w:numId w:val="0"/>
              </w:numPr>
              <w:pBdr>
                <w:bottom w:val="none" w:color="auto" w:sz="0" w:space="0"/>
              </w:pBdr>
              <w:tabs>
                <w:tab w:val="center" w:pos="5737"/>
                <w:tab w:val="clear" w:pos="4153"/>
              </w:tabs>
              <w:ind w:leftChars="0"/>
              <w:jc w:val="both"/>
              <w:rPr>
                <w:color w:val="000000"/>
                <w:sz w:val="21"/>
                <w:szCs w:val="21"/>
                <w:highlight w:val="none"/>
              </w:rPr>
            </w:pPr>
            <w:r>
              <w:rPr>
                <w:rFonts w:hint="eastAsia"/>
                <w:color w:val="000000"/>
                <w:sz w:val="21"/>
                <w:szCs w:val="21"/>
                <w:highlight w:val="none"/>
                <w:lang w:val="en-US" w:eastAsia="zh-CN"/>
              </w:rPr>
              <w:t>1、灭</w:t>
            </w:r>
            <w:r>
              <w:rPr>
                <w:rFonts w:hint="eastAsia"/>
                <w:color w:val="000000"/>
                <w:sz w:val="21"/>
                <w:szCs w:val="21"/>
                <w:highlight w:val="none"/>
              </w:rPr>
              <w:t>蝇灯内有甲壳虫、蚊蝇等，并且未放置灭蝇纸；</w:t>
            </w:r>
          </w:p>
          <w:p>
            <w:pPr>
              <w:pStyle w:val="7"/>
              <w:numPr>
                <w:ilvl w:val="0"/>
                <w:numId w:val="0"/>
              </w:numPr>
              <w:pBdr>
                <w:bottom w:val="none" w:color="auto" w:sz="0" w:space="0"/>
              </w:pBdr>
              <w:tabs>
                <w:tab w:val="center" w:pos="5737"/>
                <w:tab w:val="clear" w:pos="4153"/>
              </w:tabs>
              <w:ind w:leftChars="0"/>
              <w:jc w:val="both"/>
              <w:rPr>
                <w:color w:val="000000"/>
                <w:sz w:val="21"/>
                <w:szCs w:val="21"/>
                <w:highlight w:val="none"/>
              </w:rPr>
            </w:pPr>
            <w:r>
              <w:rPr>
                <w:rFonts w:hint="eastAsia"/>
                <w:color w:val="000000"/>
                <w:sz w:val="21"/>
                <w:szCs w:val="21"/>
                <w:highlight w:val="none"/>
                <w:lang w:val="en-US" w:eastAsia="zh-CN"/>
              </w:rPr>
              <w:t>2、配</w:t>
            </w:r>
            <w:r>
              <w:rPr>
                <w:rFonts w:hint="eastAsia"/>
                <w:color w:val="000000"/>
                <w:sz w:val="21"/>
                <w:szCs w:val="21"/>
                <w:highlight w:val="none"/>
              </w:rPr>
              <w:t>料处垃圾桶与原料混放；</w:t>
            </w:r>
          </w:p>
          <w:p>
            <w:pPr>
              <w:pStyle w:val="7"/>
              <w:pBdr>
                <w:bottom w:val="none" w:color="auto" w:sz="0" w:space="0"/>
              </w:pBdr>
              <w:tabs>
                <w:tab w:val="center" w:pos="5737"/>
                <w:tab w:val="clear" w:pos="4153"/>
              </w:tabs>
              <w:jc w:val="both"/>
              <w:rPr>
                <w:rFonts w:hint="eastAsia" w:ascii="Calibri" w:hAnsi="Calibri"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3、更衣室洗手池下水口未完全密封；</w:t>
            </w:r>
          </w:p>
        </w:tc>
        <w:tc>
          <w:tcPr>
            <w:tcW w:w="1325" w:type="dxa"/>
            <w:vAlign w:val="center"/>
          </w:tcPr>
          <w:p>
            <w:pPr>
              <w:pStyle w:val="7"/>
              <w:pBdr>
                <w:bottom w:val="none" w:color="auto" w:sz="0" w:space="0"/>
              </w:pBdr>
              <w:jc w:val="both"/>
              <w:rPr>
                <w:color w:val="000000"/>
                <w:sz w:val="21"/>
                <w:szCs w:val="21"/>
              </w:rPr>
            </w:pPr>
            <w:r>
              <w:rPr>
                <w:rFonts w:hint="eastAsia"/>
                <w:color w:val="000000"/>
                <w:sz w:val="21"/>
                <w:szCs w:val="21"/>
              </w:rPr>
              <w:t>I</w:t>
            </w:r>
            <w:r>
              <w:rPr>
                <w:color w:val="000000"/>
                <w:sz w:val="21"/>
                <w:szCs w:val="21"/>
              </w:rPr>
              <w:t>SO22000</w:t>
            </w:r>
          </w:p>
          <w:p>
            <w:pPr>
              <w:pStyle w:val="7"/>
              <w:pBdr>
                <w:bottom w:val="none" w:color="auto" w:sz="0" w:space="0"/>
              </w:pBdr>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rPr>
              <w:t>I</w:t>
            </w:r>
            <w:r>
              <w:rPr>
                <w:color w:val="000000"/>
                <w:sz w:val="21"/>
                <w:szCs w:val="21"/>
              </w:rPr>
              <w:t>SO9001</w:t>
            </w:r>
          </w:p>
        </w:tc>
        <w:tc>
          <w:tcPr>
            <w:tcW w:w="1133" w:type="dxa"/>
            <w:vAlign w:val="center"/>
          </w:tcPr>
          <w:p>
            <w:pPr>
              <w:pStyle w:val="7"/>
              <w:pBdr>
                <w:bottom w:val="none" w:color="auto" w:sz="0" w:space="0"/>
              </w:pBdr>
              <w:jc w:val="both"/>
              <w:rPr>
                <w:color w:val="000000"/>
                <w:sz w:val="21"/>
                <w:szCs w:val="21"/>
              </w:rPr>
            </w:pPr>
            <w:r>
              <w:rPr>
                <w:rFonts w:hint="eastAsia"/>
                <w:color w:val="000000"/>
                <w:sz w:val="21"/>
                <w:szCs w:val="21"/>
              </w:rPr>
              <w:t>8</w:t>
            </w:r>
            <w:r>
              <w:rPr>
                <w:color w:val="000000"/>
                <w:sz w:val="21"/>
                <w:szCs w:val="21"/>
              </w:rPr>
              <w:t>.2.4</w:t>
            </w:r>
          </w:p>
          <w:p>
            <w:pPr>
              <w:pStyle w:val="7"/>
              <w:pBdr>
                <w:bottom w:val="none" w:color="auto" w:sz="0" w:space="0"/>
              </w:pBdr>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rPr>
              <w:t>8</w:t>
            </w:r>
            <w:r>
              <w:rPr>
                <w:color w:val="000000"/>
                <w:sz w:val="21"/>
                <w:szCs w:val="21"/>
              </w:rPr>
              <w:t>.5.1</w:t>
            </w:r>
          </w:p>
        </w:tc>
        <w:tc>
          <w:tcPr>
            <w:tcW w:w="934" w:type="dxa"/>
            <w:vAlign w:val="center"/>
          </w:tcPr>
          <w:p>
            <w:pPr>
              <w:pStyle w:val="7"/>
              <w:pBdr>
                <w:bottom w:val="none" w:color="auto" w:sz="0" w:space="0"/>
              </w:pBdr>
              <w:ind w:right="600" w:rightChars="0"/>
              <w:jc w:val="both"/>
              <w:rPr>
                <w:rFonts w:ascii="Calibri" w:hAnsi="Calibri" w:eastAsia="宋体" w:cs="Times New Roman"/>
                <w:color w:val="000000"/>
                <w:kern w:val="2"/>
                <w:sz w:val="21"/>
                <w:szCs w:val="21"/>
                <w:lang w:val="en-US" w:eastAsia="zh-CN" w:bidi="ar-SA"/>
              </w:rPr>
            </w:pPr>
            <w:r>
              <w:rPr>
                <w:rFonts w:hint="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78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2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78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2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788"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2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jc w:val="center"/>
              <w:rPr>
                <w:rFonts w:hint="eastAsia" w:eastAsia="宋体"/>
                <w:b/>
                <w:color w:val="000000"/>
                <w:szCs w:val="21"/>
                <w:lang w:val="en-US" w:eastAsia="zh-CN"/>
              </w:rPr>
            </w:pPr>
            <w:r>
              <w:rPr>
                <w:rFonts w:hint="eastAsia"/>
                <w:b/>
                <w:color w:val="000000"/>
                <w:szCs w:val="21"/>
                <w:lang w:val="en-US" w:eastAsia="zh-CN"/>
              </w:rPr>
              <w:t>肖新龙</w:t>
            </w: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 xml:space="preserve">11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rFonts w:hint="eastAsia" w:eastAsia="宋体"/>
                <w:b/>
                <w:color w:val="000000"/>
                <w:szCs w:val="21"/>
                <w:lang w:eastAsia="zh-CN"/>
              </w:rPr>
            </w:pPr>
            <w:r>
              <w:drawing>
                <wp:anchor distT="0" distB="0" distL="114300" distR="114300" simplePos="0" relativeHeight="251662336" behindDoc="0" locked="0" layoutInCell="1" allowOverlap="1">
                  <wp:simplePos x="0" y="0"/>
                  <wp:positionH relativeFrom="column">
                    <wp:posOffset>635000</wp:posOffset>
                  </wp:positionH>
                  <wp:positionV relativeFrom="paragraph">
                    <wp:posOffset>3175</wp:posOffset>
                  </wp:positionV>
                  <wp:extent cx="1118235" cy="835660"/>
                  <wp:effectExtent l="0" t="0" r="5715" b="254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lum bright="36000"/>
                          </a:blip>
                          <a:srcRect l="5970" t="19631" r="12296" b="8305"/>
                          <a:stretch>
                            <a:fillRect/>
                          </a:stretch>
                        </pic:blipFill>
                        <pic:spPr>
                          <a:xfrm>
                            <a:off x="0" y="0"/>
                            <a:ext cx="1118235" cy="835660"/>
                          </a:xfrm>
                          <a:prstGeom prst="rect">
                            <a:avLst/>
                          </a:prstGeom>
                          <a:noFill/>
                          <a:ln>
                            <a:noFill/>
                          </a:ln>
                        </pic:spPr>
                      </pic:pic>
                    </a:graphicData>
                  </a:graphic>
                </wp:anchor>
              </w:drawing>
            </w:r>
          </w:p>
          <w:p>
            <w:pPr>
              <w:pStyle w:val="2"/>
              <w:rPr>
                <w:b/>
                <w:color w:val="000000"/>
                <w:szCs w:val="21"/>
              </w:rPr>
            </w:pPr>
          </w:p>
          <w:p>
            <w:pPr>
              <w:pStyle w:val="2"/>
              <w:rPr>
                <w:b/>
                <w:color w:val="000000"/>
                <w:szCs w:val="21"/>
              </w:rPr>
            </w:pPr>
          </w:p>
          <w:p>
            <w:pPr>
              <w:pStyle w:val="2"/>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 xml:space="preserve">11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hint="default" w:ascii="宋体" w:eastAsia="宋体"/>
                <w:b/>
                <w:bCs/>
                <w:color w:val="000000"/>
                <w:spacing w:val="-8"/>
                <w:szCs w:val="21"/>
                <w:lang w:val="en-US" w:eastAsia="zh-CN"/>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r>
              <w:rPr>
                <w:rFonts w:hint="eastAsia" w:ascii="宋体" w:hAnsi="宋体"/>
                <w:b/>
                <w:bCs/>
                <w:color w:val="000000"/>
                <w:spacing w:val="-8"/>
                <w:szCs w:val="21"/>
                <w:lang w:eastAsia="zh-CN"/>
              </w:rPr>
              <w:t>——</w:t>
            </w:r>
            <w:r>
              <w:rPr>
                <w:rFonts w:hint="eastAsia" w:ascii="宋体" w:hAnsi="宋体"/>
                <w:b/>
                <w:bCs/>
                <w:color w:val="000000"/>
                <w:spacing w:val="-8"/>
                <w:szCs w:val="21"/>
                <w:lang w:val="en-US" w:eastAsia="zh-CN"/>
              </w:rPr>
              <w:t>不适用</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pStyle w:val="2"/>
            </w:pPr>
          </w:p>
          <w:p>
            <w:pPr>
              <w:spacing w:line="280" w:lineRule="exact"/>
              <w:rPr>
                <w:rFonts w:hint="default"/>
                <w:b/>
                <w:color w:val="000000"/>
                <w:szCs w:val="21"/>
                <w:lang w:val="en-US" w:eastAsia="zh-CN"/>
              </w:rPr>
            </w:pPr>
            <w:r>
              <w:rPr>
                <w:rFonts w:hint="eastAsia"/>
                <w:b/>
                <w:color w:val="000000"/>
                <w:szCs w:val="21"/>
              </w:rPr>
              <w:t>验证人：</w:t>
            </w:r>
            <w:r>
              <w:rPr>
                <w:rFonts w:hint="eastAsia"/>
                <w:b/>
                <w:color w:val="000000"/>
                <w:szCs w:val="21"/>
                <w:lang w:val="en-US" w:eastAsia="zh-CN"/>
              </w:rPr>
              <w:t xml:space="preserve">  肖新龙</w:t>
            </w:r>
            <w:bookmarkStart w:id="39" w:name="_GoBack"/>
            <w:bookmarkEnd w:id="39"/>
          </w:p>
          <w:p>
            <w:pPr>
              <w:spacing w:line="280" w:lineRule="exact"/>
              <w:rPr>
                <w:rFonts w:hint="eastAsia"/>
                <w:b/>
                <w:color w:val="000000"/>
                <w:szCs w:val="21"/>
                <w:lang w:val="en-US" w:eastAsia="zh-CN"/>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2023  </w:t>
            </w:r>
            <w:r>
              <w:rPr>
                <w:rFonts w:hint="eastAsia"/>
                <w:b/>
                <w:color w:val="000000"/>
                <w:szCs w:val="21"/>
              </w:rPr>
              <w:t>年</w:t>
            </w:r>
            <w:r>
              <w:rPr>
                <w:rFonts w:hint="eastAsia"/>
                <w:b/>
                <w:color w:val="000000"/>
                <w:szCs w:val="21"/>
                <w:lang w:val="en-US" w:eastAsia="zh-CN"/>
              </w:rPr>
              <w:t xml:space="preserve">2 </w:t>
            </w:r>
            <w:r>
              <w:rPr>
                <w:rFonts w:hint="eastAsia"/>
                <w:b/>
                <w:color w:val="000000"/>
                <w:szCs w:val="21"/>
              </w:rPr>
              <w:t>月</w:t>
            </w:r>
            <w:r>
              <w:rPr>
                <w:rFonts w:hint="eastAsia"/>
                <w:b/>
                <w:color w:val="000000"/>
                <w:szCs w:val="21"/>
                <w:lang w:val="en-US" w:eastAsia="zh-CN"/>
              </w:rPr>
              <w:t xml:space="preserve"> 11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I4MGQzYmZlYjc0MTg3YzE3NjNlNzg5YWY5YjI1NjgifQ=="/>
    <w:docVar w:name="KSO_WPS_MARK_KEY" w:val="215783f1-91a1-4796-8322-05ac4eaab75f"/>
  </w:docVars>
  <w:rsids>
    <w:rsidRoot w:val="00000000"/>
    <w:rsid w:val="235E74F9"/>
    <w:rsid w:val="28470816"/>
    <w:rsid w:val="30A5338C"/>
    <w:rsid w:val="3A1A5B14"/>
    <w:rsid w:val="3D4445A5"/>
    <w:rsid w:val="4AC20D4E"/>
    <w:rsid w:val="53E03047"/>
    <w:rsid w:val="57140C39"/>
    <w:rsid w:val="668B7817"/>
    <w:rsid w:val="6BDA7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5358</Words>
  <Characters>6048</Characters>
  <Lines>67</Lines>
  <Paragraphs>18</Paragraphs>
  <TotalTime>10</TotalTime>
  <ScaleCrop>false</ScaleCrop>
  <LinksUpToDate>false</LinksUpToDate>
  <CharactersWithSpaces>6312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2023-02-16T01:42:45Z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2052-11.1.0.12970</vt:lpwstr>
  </property>
</Properties>
</file>