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甘肃春宇印务有限公司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签订合同-根据合同下施工单-根据生产制版-印刷（装版-上墨-印刷）-装订-质检-出厂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</w:rPr>
              <w:t>废水排放、资源能源消耗、危险废弃物排放、噪音排放、潜在火灾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环境保护法、中华人民、共和国环境影响评价法、中华人民共和国水污染防治法、中华人民共和国大气污染防治法、中华人民共和国环境噪声污染防治法、中华人民共和国固体废物污染环境防治法、中华人民共和国消防法、国家危险废物名录、GB8978-1996污水综合排放标准、GB16297-1996大气污染物综合排放标准、危险废物转移联单管理办法、工业企业厂界环境噪声排放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噪音、废水、废气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bookmarkStart w:id="0" w:name="_GoBack" w:colFirst="2" w:colLast="3"/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2023.2.23</w:t>
            </w:r>
          </w:p>
        </w:tc>
      </w:tr>
      <w:bookmarkEnd w:id="0"/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br w:type="page"/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甘肃春宇印务有限公司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签订合同-根据合同下施工单-根据生产制版-印刷（装版-上墨-印刷）-装订-质检-出厂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</w:rPr>
              <w:t>触电、潜在火灾、机械伤害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安全生产法、中华人民共和国特种设备安全法、中华人民共和国劳动法、中华人民共和国消防法、中华人民共和国妇女权益保障法、电气安全管理规程、女职工劳动保护特别规定、特种设备安全检察条例、火灾事故调查规定、消防监督检查规定、工伤保险条例、</w:t>
            </w:r>
            <w:r>
              <w:rPr>
                <w:rFonts w:hint="eastAsia" w:eastAsia="宋体"/>
                <w:b/>
                <w:sz w:val="20"/>
                <w:lang w:val="en-GB"/>
              </w:rPr>
              <w:t>未成年工特殊保护规定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噪音、废气等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1542C6A"/>
    <w:rsid w:val="35A33965"/>
    <w:rsid w:val="77E250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757</Words>
  <Characters>844</Characters>
  <Lines>2</Lines>
  <Paragraphs>1</Paragraphs>
  <TotalTime>0</TotalTime>
  <ScaleCrop>false</ScaleCrop>
  <LinksUpToDate>false</LinksUpToDate>
  <CharactersWithSpaces>846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苗</cp:lastModifiedBy>
  <dcterms:modified xsi:type="dcterms:W3CDTF">2023-02-22T08:32:14Z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