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3B133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137D41">
        <w:trPr>
          <w:trHeight w:val="557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重庆拱智商贸有限公司</w:t>
            </w:r>
            <w:bookmarkEnd w:id="0"/>
          </w:p>
        </w:tc>
      </w:tr>
      <w:tr w:rsidR="00137D41">
        <w:trPr>
          <w:trHeight w:val="557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B133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重庆市江津区德感街道八斗路</w:t>
            </w:r>
            <w:r>
              <w:rPr>
                <w:rFonts w:asciiTheme="minorEastAsia" w:eastAsiaTheme="minorEastAsia" w:hAnsiTheme="minorEastAsia"/>
                <w:sz w:val="20"/>
              </w:rPr>
              <w:t>10</w:t>
            </w:r>
            <w:r>
              <w:rPr>
                <w:rFonts w:asciiTheme="minorEastAsia" w:eastAsiaTheme="minorEastAsia" w:hAnsiTheme="minorEastAsia"/>
                <w:sz w:val="20"/>
              </w:rPr>
              <w:t>号附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坤煌实业产业综合体</w:t>
            </w:r>
            <w:r>
              <w:rPr>
                <w:rFonts w:asciiTheme="minorEastAsia" w:eastAsiaTheme="minorEastAsia" w:hAnsiTheme="minorEastAsia"/>
                <w:sz w:val="20"/>
              </w:rPr>
              <w:t>41</w:t>
            </w:r>
            <w:r>
              <w:rPr>
                <w:rFonts w:asciiTheme="minorEastAsia" w:eastAsiaTheme="minorEastAsia" w:hAnsiTheme="minorEastAsia"/>
                <w:sz w:val="20"/>
              </w:rPr>
              <w:t>幢）（自主承诺）</w:t>
            </w:r>
            <w:bookmarkEnd w:id="1"/>
          </w:p>
        </w:tc>
      </w:tr>
      <w:tr w:rsidR="00137D41">
        <w:trPr>
          <w:trHeight w:val="557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B133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重庆市江津区德感街道八斗路</w:t>
            </w:r>
            <w:r>
              <w:rPr>
                <w:rFonts w:asciiTheme="minorEastAsia" w:eastAsiaTheme="minorEastAsia" w:hAnsiTheme="minorEastAsia"/>
                <w:sz w:val="20"/>
              </w:rPr>
              <w:t>10</w:t>
            </w:r>
            <w:r>
              <w:rPr>
                <w:rFonts w:asciiTheme="minorEastAsia" w:eastAsiaTheme="minorEastAsia" w:hAnsiTheme="minorEastAsia"/>
                <w:sz w:val="20"/>
              </w:rPr>
              <w:t>号附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坤煌实业产业综合体</w:t>
            </w:r>
            <w:r>
              <w:rPr>
                <w:rFonts w:asciiTheme="minorEastAsia" w:eastAsiaTheme="minorEastAsia" w:hAnsiTheme="minorEastAsia"/>
                <w:sz w:val="20"/>
              </w:rPr>
              <w:t>41</w:t>
            </w:r>
            <w:r>
              <w:rPr>
                <w:rFonts w:asciiTheme="minorEastAsia" w:eastAsiaTheme="minorEastAsia" w:hAnsiTheme="minorEastAsia"/>
                <w:sz w:val="20"/>
              </w:rPr>
              <w:t>幢）</w:t>
            </w:r>
            <w:bookmarkEnd w:id="2"/>
            <w:bookmarkEnd w:id="3"/>
          </w:p>
        </w:tc>
      </w:tr>
      <w:tr w:rsidR="00137D41">
        <w:trPr>
          <w:trHeight w:val="557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王世荣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13983449258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137D41">
        <w:trPr>
          <w:trHeight w:val="557"/>
        </w:trPr>
        <w:tc>
          <w:tcPr>
            <w:tcW w:w="1142" w:type="dxa"/>
            <w:vAlign w:val="center"/>
          </w:tcPr>
          <w:p w:rsidR="00A62166" w:rsidRDefault="003B133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B1337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B1337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</w:tr>
      <w:tr w:rsidR="00137D41">
        <w:trPr>
          <w:trHeight w:val="418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B1337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0011-2022-QEO-2023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3B1337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3B1337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37D41">
        <w:trPr>
          <w:trHeight w:val="455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B1337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137D41">
        <w:trPr>
          <w:trHeight w:val="455"/>
        </w:trPr>
        <w:tc>
          <w:tcPr>
            <w:tcW w:w="1142" w:type="dxa"/>
          </w:tcPr>
          <w:p w:rsidR="00A62166" w:rsidRDefault="003B13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3B1337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37D41">
        <w:trPr>
          <w:trHeight w:val="455"/>
        </w:trPr>
        <w:tc>
          <w:tcPr>
            <w:tcW w:w="1142" w:type="dxa"/>
          </w:tcPr>
          <w:p w:rsidR="00A62166" w:rsidRDefault="003B133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3B13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37D41">
        <w:trPr>
          <w:trHeight w:val="455"/>
        </w:trPr>
        <w:tc>
          <w:tcPr>
            <w:tcW w:w="1142" w:type="dxa"/>
          </w:tcPr>
          <w:p w:rsidR="00A62166" w:rsidRDefault="003B133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3B13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137D41">
        <w:trPr>
          <w:trHeight w:val="990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3B13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B13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B13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3B13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B13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3B13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1041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B1337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37D41">
        <w:trPr>
          <w:trHeight w:val="4810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3B1337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：认可：包装箱（金属）的加工</w:t>
            </w:r>
          </w:p>
          <w:p w:rsidR="00A62166" w:rsidRDefault="003B1337">
            <w:pPr>
              <w:rPr>
                <w:sz w:val="20"/>
              </w:rPr>
            </w:pPr>
            <w:r>
              <w:rPr>
                <w:sz w:val="20"/>
              </w:rPr>
              <w:t>非认可：包装箱（木质）的加工</w:t>
            </w:r>
          </w:p>
          <w:p w:rsidR="00A62166" w:rsidRDefault="003B133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：包装箱（木质、金属）的加工所涉及场所的相关环境管理活动</w:t>
            </w:r>
          </w:p>
          <w:p w:rsidR="00A62166" w:rsidRDefault="003B133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：包装箱（木质、金属）的加工所涉及场所的相关职业健康安全管理活动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B1337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06.02.04;17.12.01</w:t>
            </w:r>
          </w:p>
          <w:p w:rsidR="00A62166" w:rsidRDefault="003B1337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06.02.04;17.12.01</w:t>
            </w:r>
          </w:p>
          <w:p w:rsidR="00A62166" w:rsidRDefault="003B133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06.02.04;17.12.01</w:t>
            </w:r>
            <w:bookmarkEnd w:id="26"/>
          </w:p>
        </w:tc>
      </w:tr>
      <w:tr w:rsidR="00137D41">
        <w:trPr>
          <w:trHeight w:val="1184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B13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B133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B13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3B133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B133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B13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3B133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37D4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B13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37D41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B133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3B13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37D41">
        <w:trPr>
          <w:trHeight w:val="465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B13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37D4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3B13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37D41">
        <w:trPr>
          <w:trHeight w:val="465"/>
        </w:trPr>
        <w:tc>
          <w:tcPr>
            <w:tcW w:w="1142" w:type="dxa"/>
            <w:vAlign w:val="center"/>
          </w:tcPr>
          <w:p w:rsidR="00A62166" w:rsidRDefault="003B133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3B133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37D41">
        <w:trPr>
          <w:trHeight w:val="465"/>
        </w:trPr>
        <w:tc>
          <w:tcPr>
            <w:tcW w:w="1142" w:type="dxa"/>
            <w:vAlign w:val="center"/>
          </w:tcPr>
          <w:p w:rsidR="00A62166" w:rsidRDefault="003B13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Q:17.12.01</w:t>
            </w:r>
          </w:p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E:17.12.01</w:t>
            </w:r>
          </w:p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3B1337">
            <w:pPr>
              <w:rPr>
                <w:sz w:val="20"/>
                <w:lang w:val="de-DE"/>
              </w:rPr>
            </w:pPr>
          </w:p>
        </w:tc>
      </w:tr>
      <w:tr w:rsidR="00137D41">
        <w:trPr>
          <w:trHeight w:val="465"/>
        </w:trPr>
        <w:tc>
          <w:tcPr>
            <w:tcW w:w="1142" w:type="dxa"/>
            <w:vAlign w:val="center"/>
          </w:tcPr>
          <w:p w:rsidR="00A62166" w:rsidRDefault="003B13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3B1337">
            <w:pPr>
              <w:rPr>
                <w:sz w:val="20"/>
                <w:lang w:val="de-DE"/>
              </w:rPr>
            </w:pPr>
          </w:p>
        </w:tc>
      </w:tr>
      <w:tr w:rsidR="00137D41">
        <w:trPr>
          <w:trHeight w:val="465"/>
        </w:trPr>
        <w:tc>
          <w:tcPr>
            <w:tcW w:w="1142" w:type="dxa"/>
            <w:vAlign w:val="center"/>
          </w:tcPr>
          <w:p w:rsidR="00A62166" w:rsidRDefault="003B13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吴成德</w:t>
            </w:r>
          </w:p>
        </w:tc>
        <w:tc>
          <w:tcPr>
            <w:tcW w:w="948" w:type="dxa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ISC-JSZJ-476</w:t>
            </w:r>
          </w:p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ISC-JSZJ-476</w:t>
            </w:r>
          </w:p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ISC-JSZJ-476</w:t>
            </w:r>
          </w:p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全茂合渝科技有限公司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Q:06.02.04</w:t>
            </w:r>
          </w:p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E:06.02.04</w:t>
            </w:r>
          </w:p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O:06.02.04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B13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18983741516</w:t>
            </w:r>
          </w:p>
        </w:tc>
        <w:tc>
          <w:tcPr>
            <w:tcW w:w="1380" w:type="dxa"/>
            <w:vAlign w:val="center"/>
          </w:tcPr>
          <w:p w:rsidR="00A62166" w:rsidRDefault="003B1337">
            <w:pPr>
              <w:rPr>
                <w:sz w:val="20"/>
                <w:lang w:val="de-DE"/>
              </w:rPr>
            </w:pPr>
          </w:p>
        </w:tc>
      </w:tr>
      <w:tr w:rsidR="00137D41">
        <w:trPr>
          <w:trHeight w:val="827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B1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B1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B13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B1337">
            <w:pPr>
              <w:jc w:val="center"/>
              <w:rPr>
                <w:sz w:val="21"/>
                <w:szCs w:val="21"/>
              </w:rPr>
            </w:pPr>
          </w:p>
        </w:tc>
      </w:tr>
      <w:tr w:rsidR="00137D41">
        <w:trPr>
          <w:trHeight w:val="985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B1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B1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B13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B1337">
            <w:pPr>
              <w:jc w:val="center"/>
              <w:rPr>
                <w:sz w:val="21"/>
                <w:szCs w:val="21"/>
              </w:rPr>
            </w:pPr>
          </w:p>
        </w:tc>
      </w:tr>
      <w:tr w:rsidR="00137D4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3B1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37D41">
        <w:trPr>
          <w:trHeight w:val="465"/>
        </w:trPr>
        <w:tc>
          <w:tcPr>
            <w:tcW w:w="1142" w:type="dxa"/>
            <w:vAlign w:val="center"/>
          </w:tcPr>
          <w:p w:rsidR="00A62166" w:rsidRDefault="003B133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B133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B133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B133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B133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37D41">
        <w:trPr>
          <w:trHeight w:val="567"/>
        </w:trPr>
        <w:tc>
          <w:tcPr>
            <w:tcW w:w="1142" w:type="dxa"/>
            <w:vAlign w:val="center"/>
          </w:tcPr>
          <w:p w:rsidR="00A62166" w:rsidRDefault="003B1337"/>
        </w:tc>
        <w:tc>
          <w:tcPr>
            <w:tcW w:w="1350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B133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B13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B133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B1337"/>
        </w:tc>
        <w:tc>
          <w:tcPr>
            <w:tcW w:w="1380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</w:tr>
      <w:tr w:rsidR="00137D41">
        <w:trPr>
          <w:trHeight w:val="465"/>
        </w:trPr>
        <w:tc>
          <w:tcPr>
            <w:tcW w:w="1142" w:type="dxa"/>
            <w:vAlign w:val="center"/>
          </w:tcPr>
          <w:p w:rsidR="00A62166" w:rsidRDefault="003B1337"/>
        </w:tc>
        <w:tc>
          <w:tcPr>
            <w:tcW w:w="1350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B133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B13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B1337"/>
        </w:tc>
        <w:tc>
          <w:tcPr>
            <w:tcW w:w="1299" w:type="dxa"/>
            <w:gridSpan w:val="4"/>
            <w:vAlign w:val="center"/>
          </w:tcPr>
          <w:p w:rsidR="00A62166" w:rsidRDefault="003B1337"/>
        </w:tc>
        <w:tc>
          <w:tcPr>
            <w:tcW w:w="1380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</w:tr>
      <w:tr w:rsidR="00137D41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3B133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37D41">
        <w:trPr>
          <w:trHeight w:val="586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104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3B13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</w:tr>
      <w:tr w:rsidR="00137D41">
        <w:trPr>
          <w:trHeight w:val="509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10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</w:p>
        </w:tc>
      </w:tr>
      <w:tr w:rsidR="00137D41">
        <w:trPr>
          <w:trHeight w:val="600"/>
        </w:trPr>
        <w:tc>
          <w:tcPr>
            <w:tcW w:w="1142" w:type="dxa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104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F10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2023.2.9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3B1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F10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2023.2.9</w:t>
            </w:r>
          </w:p>
        </w:tc>
      </w:tr>
    </w:tbl>
    <w:p w:rsidR="00A62166" w:rsidRDefault="003B1337">
      <w:pPr>
        <w:rPr>
          <w:rFonts w:hint="eastAsia"/>
        </w:rPr>
      </w:pPr>
    </w:p>
    <w:p w:rsidR="00271B4E" w:rsidRDefault="00271B4E" w:rsidP="00271B4E">
      <w:pPr>
        <w:pStyle w:val="a0"/>
        <w:rPr>
          <w:rFonts w:hint="eastAsia"/>
        </w:rPr>
      </w:pPr>
    </w:p>
    <w:p w:rsidR="00271B4E" w:rsidRDefault="00271B4E" w:rsidP="00271B4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8"/>
        <w:gridCol w:w="1469"/>
        <w:gridCol w:w="873"/>
        <w:gridCol w:w="6192"/>
        <w:gridCol w:w="1065"/>
      </w:tblGrid>
      <w:tr w:rsidR="00271B4E" w:rsidTr="00527EE0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71B4E" w:rsidTr="00527EE0">
        <w:trPr>
          <w:cantSplit/>
          <w:trHeight w:val="396"/>
          <w:jc w:val="center"/>
        </w:trPr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9" w:type="dxa"/>
            <w:vAlign w:val="center"/>
          </w:tcPr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3" w:type="dxa"/>
            <w:vAlign w:val="center"/>
          </w:tcPr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92" w:type="dxa"/>
            <w:vAlign w:val="center"/>
          </w:tcPr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71B4E" w:rsidTr="00527EE0">
        <w:trPr>
          <w:cantSplit/>
          <w:trHeight w:val="652"/>
          <w:jc w:val="center"/>
        </w:trPr>
        <w:tc>
          <w:tcPr>
            <w:tcW w:w="778" w:type="dxa"/>
            <w:vMerge w:val="restart"/>
            <w:tcBorders>
              <w:left w:val="single" w:sz="8" w:space="0" w:color="auto"/>
            </w:tcBorders>
            <w:vAlign w:val="center"/>
          </w:tcPr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69" w:type="dxa"/>
            <w:vAlign w:val="center"/>
          </w:tcPr>
          <w:p w:rsidR="00271B4E" w:rsidRDefault="00271B4E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065" w:type="dxa"/>
            <w:gridSpan w:val="2"/>
            <w:vAlign w:val="center"/>
          </w:tcPr>
          <w:p w:rsidR="00271B4E" w:rsidRDefault="00271B4E" w:rsidP="00527EE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71B4E" w:rsidRDefault="00271B4E" w:rsidP="00527EE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271B4E" w:rsidTr="00271B4E">
        <w:trPr>
          <w:cantSplit/>
          <w:trHeight w:val="1908"/>
          <w:jc w:val="center"/>
        </w:trPr>
        <w:tc>
          <w:tcPr>
            <w:tcW w:w="778" w:type="dxa"/>
            <w:vMerge/>
            <w:tcBorders>
              <w:left w:val="single" w:sz="8" w:space="0" w:color="auto"/>
            </w:tcBorders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  <w:vMerge w:val="restart"/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  <w:vMerge w:val="restart"/>
          </w:tcPr>
          <w:p w:rsidR="00271B4E" w:rsidRDefault="00271B4E" w:rsidP="00527EE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92" w:type="dxa"/>
          </w:tcPr>
          <w:p w:rsidR="00271B4E" w:rsidRDefault="00271B4E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271B4E" w:rsidRDefault="00271B4E" w:rsidP="00527E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总则；10.3持续改进；</w:t>
            </w:r>
          </w:p>
          <w:p w:rsidR="00271B4E" w:rsidRDefault="00271B4E" w:rsidP="00527EE0">
            <w:pPr>
              <w:snapToGrid w:val="0"/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张心</w:t>
            </w:r>
          </w:p>
        </w:tc>
      </w:tr>
      <w:tr w:rsidR="00271B4E" w:rsidTr="00527EE0">
        <w:trPr>
          <w:cantSplit/>
          <w:trHeight w:val="4128"/>
          <w:jc w:val="center"/>
        </w:trPr>
        <w:tc>
          <w:tcPr>
            <w:tcW w:w="778" w:type="dxa"/>
            <w:vMerge/>
            <w:tcBorders>
              <w:left w:val="single" w:sz="8" w:space="0" w:color="auto"/>
            </w:tcBorders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  <w:vMerge/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  <w:vMerge/>
          </w:tcPr>
          <w:p w:rsidR="00271B4E" w:rsidRDefault="00271B4E" w:rsidP="00527EE0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192" w:type="dxa"/>
          </w:tcPr>
          <w:p w:rsidR="00271B4E" w:rsidRDefault="00271B4E" w:rsidP="00527EE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271B4E" w:rsidRDefault="00271B4E" w:rsidP="00527E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 w:rsidR="00271B4E" w:rsidRDefault="00271B4E" w:rsidP="00527EE0">
            <w:pPr>
              <w:pStyle w:val="a9"/>
            </w:pPr>
          </w:p>
          <w:p w:rsidR="00271B4E" w:rsidRDefault="00271B4E" w:rsidP="00527EE0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271B4E" w:rsidRDefault="00271B4E" w:rsidP="00527EE0">
            <w:pPr>
              <w:snapToGrid w:val="0"/>
              <w:spacing w:line="240" w:lineRule="exact"/>
            </w:pP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组织及其环境</w:t>
            </w:r>
            <w:r>
              <w:rPr>
                <w:rFonts w:hint="eastAsia"/>
                <w:sz w:val="18"/>
                <w:szCs w:val="18"/>
              </w:rPr>
              <w:t>;4.2</w:t>
            </w:r>
            <w:r>
              <w:rPr>
                <w:rFonts w:hint="eastAsia"/>
                <w:sz w:val="18"/>
                <w:szCs w:val="18"/>
              </w:rPr>
              <w:t>相关方需求与期望</w:t>
            </w:r>
            <w:r>
              <w:rPr>
                <w:rFonts w:hint="eastAsia"/>
                <w:sz w:val="18"/>
                <w:szCs w:val="18"/>
              </w:rPr>
              <w:t>;4.3</w:t>
            </w:r>
            <w:r>
              <w:rPr>
                <w:rFonts w:hint="eastAsia"/>
                <w:sz w:val="18"/>
                <w:szCs w:val="18"/>
              </w:rPr>
              <w:t>确定体系范围</w:t>
            </w:r>
            <w:r>
              <w:rPr>
                <w:rFonts w:hint="eastAsia"/>
                <w:sz w:val="18"/>
                <w:szCs w:val="18"/>
              </w:rPr>
              <w:t>;4.4</w:t>
            </w:r>
            <w:r>
              <w:rPr>
                <w:rFonts w:hint="eastAsia"/>
                <w:sz w:val="18"/>
                <w:szCs w:val="18"/>
              </w:rPr>
              <w:t>体系</w:t>
            </w:r>
            <w:r>
              <w:rPr>
                <w:rFonts w:hint="eastAsia"/>
                <w:sz w:val="18"/>
                <w:szCs w:val="18"/>
              </w:rPr>
              <w:t>;5.1</w:t>
            </w:r>
            <w:r>
              <w:rPr>
                <w:rFonts w:hint="eastAsia"/>
                <w:sz w:val="18"/>
                <w:szCs w:val="18"/>
              </w:rPr>
              <w:t>领导作用与承诺</w:t>
            </w:r>
            <w:r>
              <w:rPr>
                <w:rFonts w:hint="eastAsia"/>
                <w:sz w:val="18"/>
                <w:szCs w:val="18"/>
              </w:rPr>
              <w:t>;5.2</w:t>
            </w:r>
            <w:r>
              <w:rPr>
                <w:rFonts w:hint="eastAsia"/>
                <w:sz w:val="18"/>
                <w:szCs w:val="18"/>
              </w:rPr>
              <w:t>方针</w:t>
            </w:r>
            <w:r>
              <w:rPr>
                <w:rFonts w:hint="eastAsia"/>
                <w:sz w:val="18"/>
                <w:szCs w:val="18"/>
              </w:rPr>
              <w:t>;5.3</w:t>
            </w:r>
            <w:r>
              <w:rPr>
                <w:rFonts w:hint="eastAsia"/>
                <w:sz w:val="18"/>
                <w:szCs w:val="18"/>
              </w:rPr>
              <w:t>组织的角色、职责和权限；</w:t>
            </w:r>
            <w:r>
              <w:rPr>
                <w:rFonts w:hint="eastAsia"/>
                <w:sz w:val="18"/>
                <w:szCs w:val="18"/>
              </w:rPr>
              <w:t>5.4</w:t>
            </w:r>
            <w:r>
              <w:rPr>
                <w:rFonts w:hint="eastAsia"/>
                <w:sz w:val="18"/>
                <w:szCs w:val="18"/>
              </w:rPr>
              <w:t>工作人员的协商和参与；</w:t>
            </w:r>
            <w:r>
              <w:rPr>
                <w:rFonts w:hint="eastAsia"/>
                <w:sz w:val="18"/>
                <w:szCs w:val="18"/>
              </w:rPr>
              <w:t>6.1</w:t>
            </w:r>
            <w:r>
              <w:rPr>
                <w:rFonts w:hint="eastAsia"/>
                <w:sz w:val="18"/>
                <w:szCs w:val="18"/>
              </w:rPr>
              <w:t>应对风险和机遇的措施；</w:t>
            </w:r>
            <w:r>
              <w:rPr>
                <w:rFonts w:hint="eastAsia"/>
                <w:sz w:val="18"/>
                <w:szCs w:val="18"/>
              </w:rPr>
              <w:t>6.1.4</w:t>
            </w:r>
            <w:r>
              <w:rPr>
                <w:rFonts w:hint="eastAsia"/>
                <w:sz w:val="18"/>
                <w:szCs w:val="18"/>
              </w:rPr>
              <w:t>措施的策划；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目标及其实现的策划；</w:t>
            </w:r>
            <w:r>
              <w:rPr>
                <w:rFonts w:hint="eastAsia"/>
                <w:sz w:val="18"/>
                <w:szCs w:val="18"/>
              </w:rPr>
              <w:t>7.1</w:t>
            </w:r>
            <w:r>
              <w:rPr>
                <w:rFonts w:hint="eastAsia"/>
                <w:sz w:val="18"/>
                <w:szCs w:val="18"/>
              </w:rPr>
              <w:t>资源；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信息和沟通；</w:t>
            </w:r>
            <w:r>
              <w:rPr>
                <w:rFonts w:hint="eastAsia"/>
                <w:sz w:val="18"/>
                <w:szCs w:val="18"/>
              </w:rPr>
              <w:t>9.1</w:t>
            </w:r>
            <w:r>
              <w:rPr>
                <w:rFonts w:hint="eastAsia"/>
                <w:sz w:val="18"/>
                <w:szCs w:val="18"/>
              </w:rPr>
              <w:t>监视、测量、分析和评价；</w:t>
            </w:r>
            <w:r>
              <w:rPr>
                <w:rFonts w:hint="eastAsia"/>
                <w:sz w:val="18"/>
                <w:szCs w:val="18"/>
              </w:rPr>
              <w:t>9.3</w:t>
            </w:r>
            <w:r>
              <w:rPr>
                <w:rFonts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10.1改进 总则；10.3持续改进；</w:t>
            </w:r>
          </w:p>
          <w:p w:rsidR="00271B4E" w:rsidRDefault="00271B4E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71B4E" w:rsidRDefault="00271B4E" w:rsidP="00527EE0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范围的确认，资质的确认，法律法规执行情况，投诉或事故/政府主管部门监督抽查情况、认证证书及标识使用情况，上次不符合验证。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文平</w:t>
            </w:r>
          </w:p>
        </w:tc>
      </w:tr>
      <w:tr w:rsidR="00271B4E" w:rsidTr="00527EE0">
        <w:trPr>
          <w:cantSplit/>
          <w:trHeight w:val="4958"/>
          <w:jc w:val="center"/>
        </w:trPr>
        <w:tc>
          <w:tcPr>
            <w:tcW w:w="778" w:type="dxa"/>
            <w:vMerge/>
            <w:tcBorders>
              <w:left w:val="single" w:sz="8" w:space="0" w:color="auto"/>
            </w:tcBorders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  <w:vMerge/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</w:tcPr>
          <w:p w:rsidR="00271B4E" w:rsidRDefault="00271B4E" w:rsidP="00527EE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行政部（含财</w:t>
            </w: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务）</w:t>
            </w:r>
          </w:p>
        </w:tc>
        <w:tc>
          <w:tcPr>
            <w:tcW w:w="6192" w:type="dxa"/>
          </w:tcPr>
          <w:p w:rsidR="00271B4E" w:rsidRDefault="00271B4E" w:rsidP="00527EE0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QMS-2015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271B4E" w:rsidRDefault="00271B4E" w:rsidP="00527EE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岗位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职责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权限；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质量目标及其实现的策划；</w:t>
            </w:r>
            <w:r w:rsidR="005E081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9.2</w:t>
            </w:r>
            <w:r>
              <w:rPr>
                <w:rFonts w:hint="eastAsia"/>
                <w:sz w:val="18"/>
                <w:szCs w:val="18"/>
              </w:rPr>
              <w:t>内部审核；</w:t>
            </w:r>
            <w:r>
              <w:rPr>
                <w:rFonts w:hint="eastAsia"/>
                <w:sz w:val="18"/>
                <w:szCs w:val="18"/>
              </w:rPr>
              <w:t>10.2</w:t>
            </w:r>
            <w:r>
              <w:rPr>
                <w:rFonts w:hint="eastAsia"/>
                <w:sz w:val="18"/>
                <w:szCs w:val="18"/>
              </w:rPr>
              <w:t>不合格和纠正措施；</w:t>
            </w:r>
          </w:p>
          <w:p w:rsidR="00271B4E" w:rsidRDefault="00271B4E" w:rsidP="00527EE0">
            <w:pPr>
              <w:pStyle w:val="a9"/>
              <w:rPr>
                <w:sz w:val="18"/>
                <w:szCs w:val="18"/>
              </w:rPr>
            </w:pPr>
          </w:p>
          <w:p w:rsidR="00271B4E" w:rsidRDefault="00271B4E" w:rsidP="00527E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271B4E" w:rsidRDefault="00271B4E" w:rsidP="00527EE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组织的角色、职责和权限</w:t>
            </w:r>
            <w:r>
              <w:rPr>
                <w:rFonts w:hint="eastAsia"/>
                <w:sz w:val="18"/>
                <w:szCs w:val="18"/>
              </w:rPr>
              <w:t>;6.1.2</w:t>
            </w:r>
            <w:r>
              <w:rPr>
                <w:rFonts w:hint="eastAsia"/>
                <w:sz w:val="18"/>
                <w:szCs w:val="18"/>
              </w:rPr>
              <w:t>环境因素；</w:t>
            </w:r>
            <w:r>
              <w:rPr>
                <w:rFonts w:hint="eastAsia"/>
                <w:sz w:val="18"/>
                <w:szCs w:val="18"/>
              </w:rPr>
              <w:t>6.1.3</w:t>
            </w:r>
            <w:r>
              <w:rPr>
                <w:rFonts w:hint="eastAsia"/>
                <w:sz w:val="18"/>
                <w:szCs w:val="18"/>
              </w:rPr>
              <w:t>合规义务；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目标及其达成的策划；</w:t>
            </w:r>
            <w:r w:rsidR="005E081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</w:rPr>
              <w:t>运行策划和控制；</w:t>
            </w:r>
            <w:r>
              <w:rPr>
                <w:rFonts w:hint="eastAsia"/>
                <w:sz w:val="18"/>
                <w:szCs w:val="18"/>
              </w:rPr>
              <w:t>8.2</w:t>
            </w:r>
            <w:r>
              <w:rPr>
                <w:rFonts w:hint="eastAsia"/>
                <w:sz w:val="18"/>
                <w:szCs w:val="18"/>
              </w:rPr>
              <w:t>应急准备和响应；</w:t>
            </w:r>
            <w:r>
              <w:rPr>
                <w:rFonts w:hint="eastAsia"/>
                <w:sz w:val="18"/>
                <w:szCs w:val="18"/>
              </w:rPr>
              <w:t>9.1</w:t>
            </w:r>
            <w:r>
              <w:rPr>
                <w:rFonts w:hint="eastAsia"/>
                <w:sz w:val="18"/>
                <w:szCs w:val="18"/>
              </w:rPr>
              <w:t>监视、测量、分析与评估；</w:t>
            </w:r>
            <w:r>
              <w:rPr>
                <w:rFonts w:hint="eastAsia"/>
                <w:sz w:val="18"/>
                <w:szCs w:val="18"/>
              </w:rPr>
              <w:t>9.1.2</w:t>
            </w:r>
            <w:r>
              <w:rPr>
                <w:rFonts w:hint="eastAsia"/>
                <w:sz w:val="18"/>
                <w:szCs w:val="18"/>
              </w:rPr>
              <w:t>符合性评估；</w:t>
            </w:r>
            <w:r>
              <w:rPr>
                <w:rFonts w:hint="eastAsia"/>
                <w:sz w:val="18"/>
                <w:szCs w:val="18"/>
              </w:rPr>
              <w:t>9.2</w:t>
            </w:r>
            <w:r>
              <w:rPr>
                <w:rFonts w:hint="eastAsia"/>
                <w:sz w:val="18"/>
                <w:szCs w:val="18"/>
              </w:rPr>
              <w:t>内部审核；</w:t>
            </w:r>
            <w:r>
              <w:rPr>
                <w:rFonts w:hint="eastAsia"/>
                <w:sz w:val="18"/>
                <w:szCs w:val="18"/>
              </w:rPr>
              <w:t>10.2</w:t>
            </w:r>
            <w:r>
              <w:rPr>
                <w:rFonts w:hint="eastAsia"/>
                <w:sz w:val="18"/>
                <w:szCs w:val="18"/>
              </w:rPr>
              <w:t>不符合和纠正措施；</w:t>
            </w:r>
            <w:r>
              <w:rPr>
                <w:rFonts w:hint="eastAsia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</w:rPr>
              <w:t>运行控制相关财务支出证据。</w:t>
            </w:r>
          </w:p>
          <w:p w:rsidR="00271B4E" w:rsidRDefault="00271B4E" w:rsidP="00527EE0">
            <w:pPr>
              <w:spacing w:line="300" w:lineRule="exact"/>
              <w:rPr>
                <w:sz w:val="18"/>
                <w:szCs w:val="18"/>
              </w:rPr>
            </w:pPr>
          </w:p>
          <w:p w:rsidR="00271B4E" w:rsidRDefault="00271B4E" w:rsidP="00527EE0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ISO45001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271B4E" w:rsidRDefault="00271B4E" w:rsidP="00527EE0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组织的角色、职责和权限；</w:t>
            </w:r>
            <w:r>
              <w:rPr>
                <w:rFonts w:hint="eastAsia"/>
                <w:sz w:val="18"/>
                <w:szCs w:val="18"/>
              </w:rPr>
              <w:t>6.1.2</w:t>
            </w:r>
            <w:r>
              <w:rPr>
                <w:rFonts w:hint="eastAsia"/>
                <w:sz w:val="18"/>
                <w:szCs w:val="18"/>
              </w:rPr>
              <w:t>危险源辨识和职业安全风险评价；</w:t>
            </w:r>
            <w:r>
              <w:rPr>
                <w:rFonts w:hint="eastAsia"/>
                <w:sz w:val="18"/>
                <w:szCs w:val="18"/>
              </w:rPr>
              <w:t>6.1.3</w:t>
            </w:r>
            <w:r>
              <w:rPr>
                <w:rFonts w:hint="eastAsia"/>
                <w:sz w:val="18"/>
                <w:szCs w:val="18"/>
              </w:rPr>
              <w:t>法律法规要求和其他要求；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目标及其实现的策划；</w:t>
            </w:r>
            <w:r w:rsidR="005E081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</w:rPr>
              <w:t>运行策划和控制；</w:t>
            </w:r>
            <w:r>
              <w:rPr>
                <w:rFonts w:hint="eastAsia"/>
                <w:sz w:val="18"/>
                <w:szCs w:val="18"/>
              </w:rPr>
              <w:t>8.2</w:t>
            </w:r>
            <w:r>
              <w:rPr>
                <w:rFonts w:hint="eastAsia"/>
                <w:sz w:val="18"/>
                <w:szCs w:val="18"/>
              </w:rPr>
              <w:t>应急准备和响应；</w:t>
            </w:r>
            <w:r>
              <w:rPr>
                <w:rFonts w:hint="eastAsia"/>
                <w:sz w:val="18"/>
                <w:szCs w:val="18"/>
              </w:rPr>
              <w:t>9.1</w:t>
            </w:r>
            <w:r>
              <w:rPr>
                <w:rFonts w:hint="eastAsia"/>
                <w:sz w:val="18"/>
                <w:szCs w:val="18"/>
              </w:rPr>
              <w:t>监视、测量、分析和评价；</w:t>
            </w:r>
            <w:r>
              <w:rPr>
                <w:rFonts w:hint="eastAsia"/>
                <w:sz w:val="18"/>
                <w:szCs w:val="18"/>
              </w:rPr>
              <w:t>9.1.2</w:t>
            </w:r>
            <w:r>
              <w:rPr>
                <w:rFonts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hint="eastAsia"/>
                <w:sz w:val="18"/>
                <w:szCs w:val="18"/>
              </w:rPr>
              <w:t>9.2</w:t>
            </w:r>
            <w:r>
              <w:rPr>
                <w:rFonts w:hint="eastAsia"/>
                <w:sz w:val="18"/>
                <w:szCs w:val="18"/>
              </w:rPr>
              <w:t>内部审核；</w:t>
            </w:r>
            <w:r>
              <w:rPr>
                <w:rFonts w:hint="eastAsia"/>
                <w:sz w:val="18"/>
                <w:szCs w:val="18"/>
              </w:rPr>
              <w:t>OHSMS</w:t>
            </w:r>
            <w:r>
              <w:rPr>
                <w:rFonts w:hint="eastAsia"/>
                <w:sz w:val="18"/>
                <w:szCs w:val="18"/>
              </w:rPr>
              <w:t>运行控制财务支出证据。</w:t>
            </w:r>
          </w:p>
          <w:p w:rsidR="00271B4E" w:rsidRDefault="00271B4E" w:rsidP="00527EE0">
            <w:pPr>
              <w:pStyle w:val="a9"/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文平、</w:t>
            </w:r>
            <w:r w:rsidR="005E081D">
              <w:rPr>
                <w:rFonts w:ascii="宋体" w:hAnsi="宋体" w:hint="eastAsia"/>
                <w:b/>
                <w:bCs/>
                <w:szCs w:val="24"/>
              </w:rPr>
              <w:t>吴成德</w:t>
            </w:r>
          </w:p>
        </w:tc>
      </w:tr>
      <w:tr w:rsidR="00271B4E" w:rsidTr="00527EE0">
        <w:trPr>
          <w:cantSplit/>
          <w:trHeight w:val="590"/>
          <w:jc w:val="center"/>
        </w:trPr>
        <w:tc>
          <w:tcPr>
            <w:tcW w:w="778" w:type="dxa"/>
            <w:vMerge/>
            <w:tcBorders>
              <w:left w:val="single" w:sz="8" w:space="0" w:color="auto"/>
            </w:tcBorders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99" w:type="dxa"/>
            <w:gridSpan w:val="4"/>
            <w:tcBorders>
              <w:right w:val="single" w:sz="8" w:space="0" w:color="auto"/>
            </w:tcBorders>
          </w:tcPr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午休时间：12：00-1</w:t>
            </w:r>
            <w:r w:rsidR="00247240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247240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271B4E" w:rsidRDefault="00271B4E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47240" w:rsidTr="00527EE0">
        <w:trPr>
          <w:cantSplit/>
          <w:trHeight w:val="3716"/>
          <w:jc w:val="center"/>
        </w:trPr>
        <w:tc>
          <w:tcPr>
            <w:tcW w:w="778" w:type="dxa"/>
            <w:vMerge/>
            <w:tcBorders>
              <w:left w:val="single" w:sz="8" w:space="0" w:color="auto"/>
            </w:tcBorders>
            <w:vAlign w:val="center"/>
          </w:tcPr>
          <w:p w:rsidR="00247240" w:rsidRDefault="00247240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</w:tcPr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12:30-15:30</w:t>
            </w:r>
          </w:p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</w:tcPr>
          <w:p w:rsidR="00247240" w:rsidRDefault="00247240" w:rsidP="00527EE0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192" w:type="dxa"/>
          </w:tcPr>
          <w:p w:rsidR="00247240" w:rsidRDefault="00247240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247240" w:rsidRDefault="00247240" w:rsidP="00527E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5.3岗位/职责/权限；6.2质量目标及其实现的策划；7.1.3基础设施； 7.1.4过程运行环境；7.1.5监视和测量设备；8.1运行策划和控制；8.3设计开发控制/不适用验证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 w:rsidR="00247240" w:rsidRDefault="00247240" w:rsidP="00527EE0">
            <w:pPr>
              <w:pStyle w:val="a9"/>
            </w:pPr>
          </w:p>
          <w:p w:rsidR="00247240" w:rsidRDefault="00247240" w:rsidP="00527EE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247240" w:rsidRDefault="00247240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8.1运行策划和控制；8.2应急准备和响应；</w:t>
            </w:r>
          </w:p>
          <w:p w:rsidR="00247240" w:rsidRDefault="00247240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47240" w:rsidRDefault="00247240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247240" w:rsidRDefault="00247240" w:rsidP="002472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文平、吴成德</w:t>
            </w:r>
          </w:p>
        </w:tc>
      </w:tr>
      <w:tr w:rsidR="00247240" w:rsidTr="00247240">
        <w:trPr>
          <w:cantSplit/>
          <w:trHeight w:val="1056"/>
          <w:jc w:val="center"/>
        </w:trPr>
        <w:tc>
          <w:tcPr>
            <w:tcW w:w="778" w:type="dxa"/>
            <w:vMerge/>
            <w:tcBorders>
              <w:left w:val="single" w:sz="8" w:space="0" w:color="auto"/>
            </w:tcBorders>
            <w:vAlign w:val="center"/>
          </w:tcPr>
          <w:p w:rsidR="00247240" w:rsidRDefault="00247240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</w:tcPr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</w:tcPr>
          <w:p w:rsidR="00247240" w:rsidRDefault="00247240" w:rsidP="00527EE0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192" w:type="dxa"/>
          </w:tcPr>
          <w:p w:rsidR="00247240" w:rsidRDefault="00247240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247240" w:rsidRDefault="00247240" w:rsidP="00527EE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  <w:p w:rsidR="00247240" w:rsidRDefault="00247240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张心</w:t>
            </w:r>
          </w:p>
        </w:tc>
      </w:tr>
      <w:tr w:rsidR="00247240" w:rsidTr="00527EE0">
        <w:trPr>
          <w:cantSplit/>
          <w:trHeight w:val="2208"/>
          <w:jc w:val="center"/>
        </w:trPr>
        <w:tc>
          <w:tcPr>
            <w:tcW w:w="778" w:type="dxa"/>
            <w:vMerge/>
            <w:tcBorders>
              <w:left w:val="single" w:sz="8" w:space="0" w:color="auto"/>
            </w:tcBorders>
            <w:vAlign w:val="center"/>
          </w:tcPr>
          <w:p w:rsidR="00247240" w:rsidRDefault="00247240" w:rsidP="00527EE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</w:tcPr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3" w:type="dxa"/>
          </w:tcPr>
          <w:p w:rsidR="00247240" w:rsidRDefault="00247240" w:rsidP="00527EE0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192" w:type="dxa"/>
          </w:tcPr>
          <w:p w:rsidR="00247240" w:rsidRDefault="00247240" w:rsidP="00527EE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247240" w:rsidRDefault="00247240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8.1运行策划和控制；8.2应急准备和响应；</w:t>
            </w:r>
          </w:p>
          <w:p w:rsidR="00247240" w:rsidRDefault="00247240" w:rsidP="00527EE0">
            <w:pPr>
              <w:pStyle w:val="a9"/>
            </w:pPr>
          </w:p>
          <w:p w:rsidR="00247240" w:rsidRDefault="00247240" w:rsidP="00527EE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247240" w:rsidRDefault="00247240" w:rsidP="00247240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文平</w:t>
            </w:r>
          </w:p>
        </w:tc>
      </w:tr>
      <w:tr w:rsidR="00247240" w:rsidTr="00527EE0">
        <w:trPr>
          <w:cantSplit/>
          <w:trHeight w:val="444"/>
          <w:jc w:val="center"/>
        </w:trPr>
        <w:tc>
          <w:tcPr>
            <w:tcW w:w="778" w:type="dxa"/>
            <w:vMerge/>
            <w:tcBorders>
              <w:left w:val="single" w:sz="8" w:space="0" w:color="auto"/>
            </w:tcBorders>
          </w:tcPr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</w:tcPr>
          <w:p w:rsidR="00247240" w:rsidRDefault="00247240" w:rsidP="003D28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065" w:type="dxa"/>
            <w:gridSpan w:val="2"/>
            <w:vAlign w:val="center"/>
          </w:tcPr>
          <w:p w:rsidR="00247240" w:rsidRDefault="00247240" w:rsidP="00527EE0"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47240" w:rsidRDefault="00247240" w:rsidP="00527E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A62166" w:rsidRDefault="003B133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3B133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3B133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3B133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3B133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3B133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3B133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3B1337"/>
    <w:p w:rsidR="00A62166" w:rsidRDefault="003B1337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337" w:rsidRDefault="003B1337" w:rsidP="00137D41">
      <w:r>
        <w:separator/>
      </w:r>
    </w:p>
  </w:endnote>
  <w:endnote w:type="continuationSeparator" w:id="0">
    <w:p w:rsidR="003B1337" w:rsidRDefault="003B1337" w:rsidP="00137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337" w:rsidRDefault="003B1337" w:rsidP="00137D41">
      <w:r>
        <w:separator/>
      </w:r>
    </w:p>
  </w:footnote>
  <w:footnote w:type="continuationSeparator" w:id="0">
    <w:p w:rsidR="003B1337" w:rsidRDefault="003B1337" w:rsidP="00137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3B133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7D41" w:rsidRPr="00137D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B13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B133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D41"/>
    <w:rsid w:val="00137D41"/>
    <w:rsid w:val="00247240"/>
    <w:rsid w:val="00271B4E"/>
    <w:rsid w:val="003B1337"/>
    <w:rsid w:val="005E081D"/>
    <w:rsid w:val="00F10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styleId="a9">
    <w:name w:val="Body Text"/>
    <w:basedOn w:val="a"/>
    <w:link w:val="Char2"/>
    <w:uiPriority w:val="99"/>
    <w:qFormat/>
    <w:rsid w:val="00271B4E"/>
    <w:rPr>
      <w:sz w:val="21"/>
    </w:rPr>
  </w:style>
  <w:style w:type="character" w:customStyle="1" w:styleId="Char2">
    <w:name w:val="正文文本 Char"/>
    <w:basedOn w:val="a1"/>
    <w:link w:val="a9"/>
    <w:uiPriority w:val="99"/>
    <w:rsid w:val="00271B4E"/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601</Words>
  <Characters>3428</Characters>
  <Application>Microsoft Office Word</Application>
  <DocSecurity>0</DocSecurity>
  <Lines>28</Lines>
  <Paragraphs>8</Paragraphs>
  <ScaleCrop>false</ScaleCrop>
  <Company>微软中国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2023-02-10T05:38:00Z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