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7DF8" w:rsidRDefault="006E04C2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 w:rsidR="00524642">
        <w:trPr>
          <w:cantSplit/>
          <w:trHeight w:val="915"/>
        </w:trPr>
        <w:tc>
          <w:tcPr>
            <w:tcW w:w="1368" w:type="dxa"/>
          </w:tcPr>
          <w:p w:rsidR="00CE7DF8" w:rsidRDefault="006E04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 w:rsidRDefault="00B42092">
            <w:pPr>
              <w:spacing w:before="120" w:line="360" w:lineRule="auto"/>
              <w:rPr>
                <w:b/>
                <w:spacing w:val="-2"/>
                <w:szCs w:val="21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6E04C2">
              <w:rPr>
                <w:b/>
                <w:spacing w:val="-2"/>
                <w:szCs w:val="21"/>
              </w:rPr>
              <w:t xml:space="preserve">QMS    </w:t>
            </w:r>
            <w:r>
              <w:rPr>
                <w:rFonts w:hint="eastAsia"/>
                <w:b/>
                <w:szCs w:val="21"/>
              </w:rPr>
              <w:t>■</w:t>
            </w:r>
            <w:r w:rsidR="006E04C2">
              <w:rPr>
                <w:rFonts w:hint="eastAsia"/>
                <w:b/>
                <w:szCs w:val="21"/>
              </w:rPr>
              <w:t>5</w:t>
            </w:r>
            <w:r w:rsidR="006E04C2">
              <w:rPr>
                <w:b/>
                <w:szCs w:val="21"/>
              </w:rPr>
              <w:t>0430</w:t>
            </w:r>
            <w:bookmarkStart w:id="0" w:name="E勾选"/>
            <w:r w:rsidR="006E04C2">
              <w:rPr>
                <w:rFonts w:hint="eastAsia"/>
                <w:b/>
                <w:szCs w:val="21"/>
              </w:rPr>
              <w:t>□</w:t>
            </w:r>
            <w:bookmarkEnd w:id="0"/>
            <w:r w:rsidR="006E04C2">
              <w:rPr>
                <w:b/>
                <w:spacing w:val="-2"/>
                <w:szCs w:val="21"/>
              </w:rPr>
              <w:t>EMS</w:t>
            </w:r>
            <w:bookmarkStart w:id="1" w:name="S勾选"/>
            <w:r w:rsidR="006E04C2">
              <w:rPr>
                <w:rFonts w:hint="eastAsia"/>
                <w:b/>
                <w:szCs w:val="21"/>
              </w:rPr>
              <w:t>□</w:t>
            </w:r>
            <w:bookmarkEnd w:id="1"/>
            <w:r w:rsidR="006E04C2">
              <w:rPr>
                <w:b/>
                <w:spacing w:val="-2"/>
                <w:szCs w:val="21"/>
              </w:rPr>
              <w:t>OHSMS</w:t>
            </w:r>
            <w:bookmarkStart w:id="2" w:name="F勾选"/>
            <w:r w:rsidR="006E04C2">
              <w:rPr>
                <w:rFonts w:hint="eastAsia"/>
                <w:b/>
                <w:spacing w:val="-2"/>
                <w:szCs w:val="21"/>
              </w:rPr>
              <w:t>□</w:t>
            </w:r>
            <w:bookmarkEnd w:id="2"/>
            <w:r w:rsidR="006E04C2"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3" w:name="H勾选"/>
            <w:r w:rsidR="006E04C2">
              <w:rPr>
                <w:rFonts w:hint="eastAsia"/>
                <w:b/>
                <w:spacing w:val="-2"/>
                <w:szCs w:val="21"/>
              </w:rPr>
              <w:t>□</w:t>
            </w:r>
            <w:bookmarkEnd w:id="3"/>
            <w:r w:rsidR="006E04C2"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 w:rsidRDefault="006E04C2">
            <w:pPr>
              <w:spacing w:line="360" w:lineRule="exact"/>
              <w:rPr>
                <w:rFonts w:ascii="方正仿宋简体"/>
                <w:b/>
              </w:rPr>
            </w:pPr>
            <w:bookmarkStart w:id="4" w:name="初审"/>
            <w:r>
              <w:rPr>
                <w:rFonts w:hint="eastAsia"/>
                <w:b/>
                <w:szCs w:val="21"/>
              </w:rPr>
              <w:t>□</w:t>
            </w:r>
            <w:bookmarkEnd w:id="4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5" w:name="再认证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rFonts w:hint="eastAsia"/>
                <w:b/>
                <w:szCs w:val="21"/>
              </w:rPr>
              <w:t>再认证</w:t>
            </w:r>
            <w:bookmarkStart w:id="6" w:name="监督勾选"/>
            <w:r>
              <w:rPr>
                <w:rFonts w:hint="eastAsia"/>
                <w:b/>
                <w:szCs w:val="21"/>
              </w:rPr>
              <w:t>■</w:t>
            </w:r>
            <w:bookmarkEnd w:id="6"/>
            <w:r>
              <w:rPr>
                <w:rFonts w:hint="eastAsia"/>
                <w:b/>
                <w:szCs w:val="21"/>
              </w:rPr>
              <w:t>监督（</w:t>
            </w:r>
            <w:bookmarkStart w:id="7" w:name="监督次数"/>
            <w:r>
              <w:rPr>
                <w:rFonts w:hint="eastAsia"/>
                <w:b/>
                <w:szCs w:val="21"/>
              </w:rPr>
              <w:t>二</w:t>
            </w:r>
            <w:bookmarkEnd w:id="7"/>
            <w:r>
              <w:rPr>
                <w:rFonts w:hint="eastAsia"/>
                <w:b/>
                <w:szCs w:val="21"/>
              </w:rPr>
              <w:t>）次□证书转换</w:t>
            </w:r>
            <w:bookmarkStart w:id="8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8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 w:rsidR="00524642">
        <w:trPr>
          <w:cantSplit/>
        </w:trPr>
        <w:tc>
          <w:tcPr>
            <w:tcW w:w="1368" w:type="dxa"/>
          </w:tcPr>
          <w:p w:rsidR="00CE7DF8" w:rsidRDefault="006E04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 w:rsidRDefault="006E04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9" w:name="组织名称"/>
            <w:r>
              <w:rPr>
                <w:rFonts w:ascii="方正仿宋简体" w:eastAsia="方正仿宋简体"/>
                <w:b/>
              </w:rPr>
              <w:t>重庆居易智能科技有限公司</w:t>
            </w:r>
            <w:bookmarkEnd w:id="9"/>
          </w:p>
        </w:tc>
        <w:tc>
          <w:tcPr>
            <w:tcW w:w="1290" w:type="dxa"/>
          </w:tcPr>
          <w:p w:rsidR="00CE7DF8" w:rsidRDefault="006E04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 w:rsidRDefault="00B420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/>
                <w:b/>
              </w:rPr>
              <w:t>何苗苗</w:t>
            </w:r>
          </w:p>
        </w:tc>
      </w:tr>
      <w:tr w:rsidR="00524642">
        <w:trPr>
          <w:cantSplit/>
        </w:trPr>
        <w:tc>
          <w:tcPr>
            <w:tcW w:w="1368" w:type="dxa"/>
          </w:tcPr>
          <w:p w:rsidR="00CE7DF8" w:rsidRDefault="006E04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 w:rsidRDefault="00B4209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工程部</w:t>
            </w:r>
          </w:p>
          <w:p w:rsidR="00CE7DF8" w:rsidRPr="007B682A" w:rsidRDefault="00191063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 w:rsidRDefault="006E04C2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 w:rsidRDefault="00B42092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2023.2.10</w:t>
            </w:r>
          </w:p>
        </w:tc>
      </w:tr>
      <w:tr w:rsidR="00524642">
        <w:trPr>
          <w:trHeight w:val="4138"/>
        </w:trPr>
        <w:tc>
          <w:tcPr>
            <w:tcW w:w="10035" w:type="dxa"/>
            <w:gridSpan w:val="4"/>
          </w:tcPr>
          <w:p w:rsidR="00CE7DF8" w:rsidRDefault="006E04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Pr="00B42092" w:rsidRDefault="00B42092" w:rsidP="00B42092">
            <w:pPr>
              <w:spacing w:before="120" w:line="160" w:lineRule="exact"/>
              <w:ind w:firstLineChars="200" w:firstLine="422"/>
              <w:rPr>
                <w:rFonts w:ascii="方正仿宋简体" w:eastAsia="方正仿宋简体"/>
                <w:b/>
                <w:szCs w:val="21"/>
              </w:rPr>
            </w:pPr>
            <w:r w:rsidRPr="00B42092">
              <w:rPr>
                <w:rFonts w:ascii="宋体" w:hAnsi="宋体" w:cs="宋体" w:hint="eastAsia"/>
                <w:b/>
                <w:szCs w:val="21"/>
              </w:rPr>
              <w:t>配置有数字万用表、绝缘电阻表、网络电缆测试寻线仪，不能提供有效校准或检定证书</w:t>
            </w:r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0" w:name="_GoBack"/>
            <w:bookmarkEnd w:id="10"/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E04C2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="00B42092">
              <w:rPr>
                <w:rFonts w:hint="eastAsia"/>
                <w:b/>
                <w:szCs w:val="21"/>
              </w:rPr>
              <w:t>■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</w:t>
            </w:r>
            <w:r w:rsidR="00B42092">
              <w:rPr>
                <w:rFonts w:ascii="宋体" w:hAnsi="宋体" w:hint="eastAsia"/>
                <w:b/>
                <w:sz w:val="22"/>
                <w:szCs w:val="22"/>
              </w:rPr>
              <w:t>7.1.5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条款 </w:t>
            </w:r>
          </w:p>
          <w:p w:rsidR="00CE7DF8" w:rsidRDefault="00B42092" w:rsidP="00B42092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6E04C2">
              <w:rPr>
                <w:rFonts w:ascii="宋体" w:hAnsi="宋体" w:hint="eastAsia"/>
                <w:b/>
                <w:sz w:val="22"/>
                <w:szCs w:val="22"/>
              </w:rPr>
              <w:t xml:space="preserve">GB/T 50430-2017标准   条款: </w:t>
            </w:r>
          </w:p>
          <w:p w:rsidR="00CE7DF8" w:rsidRDefault="006E04C2" w:rsidP="00B42092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1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1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</w:t>
            </w:r>
            <w:r w:rsidR="00B42092">
              <w:rPr>
                <w:rFonts w:ascii="宋体" w:hAnsi="宋体" w:hint="eastAsia"/>
                <w:b/>
                <w:sz w:val="22"/>
                <w:szCs w:val="22"/>
              </w:rPr>
              <w:t>11.</w:t>
            </w:r>
            <w:r w:rsidR="007F241E">
              <w:rPr>
                <w:rFonts w:ascii="宋体" w:hAnsi="宋体" w:hint="eastAsia"/>
                <w:b/>
                <w:sz w:val="22"/>
                <w:szCs w:val="22"/>
              </w:rPr>
              <w:t>4.2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 w:rsidRDefault="006E04C2" w:rsidP="00B42092">
            <w:pPr>
              <w:tabs>
                <w:tab w:val="left" w:pos="4300"/>
              </w:tabs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2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2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ISO45001：2018标准  条款相关要求 </w:t>
            </w:r>
          </w:p>
          <w:p w:rsidR="00CE7DF8" w:rsidRDefault="006E04C2" w:rsidP="00B42092">
            <w:pPr>
              <w:snapToGrid w:val="0"/>
              <w:spacing w:line="280" w:lineRule="exact"/>
              <w:ind w:firstLineChars="900" w:firstLine="1897"/>
              <w:rPr>
                <w:rFonts w:ascii="宋体" w:hAnsi="宋体"/>
                <w:b/>
                <w:sz w:val="22"/>
                <w:szCs w:val="22"/>
              </w:rPr>
            </w:pPr>
            <w:bookmarkStart w:id="13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ISO 22000:2018标准  条款相关要求</w:t>
            </w:r>
          </w:p>
          <w:p w:rsidR="00CE7DF8" w:rsidRDefault="006E04C2" w:rsidP="00B42092">
            <w:pPr>
              <w:snapToGrid w:val="0"/>
              <w:spacing w:line="280" w:lineRule="exact"/>
              <w:ind w:firstLineChars="800" w:firstLine="1767"/>
              <w:rPr>
                <w:szCs w:val="21"/>
              </w:rPr>
            </w:pPr>
            <w:bookmarkStart w:id="14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ISO50001:2018标准   条款</w:t>
            </w:r>
          </w:p>
          <w:p w:rsidR="00CE7DF8" w:rsidRDefault="006E04C2" w:rsidP="00B420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       条款</w:t>
            </w:r>
          </w:p>
          <w:p w:rsidR="00CE7DF8" w:rsidRDefault="006E04C2" w:rsidP="00B420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bookmarkStart w:id="15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6E04C2" w:rsidP="00B420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    条款相关要求</w:t>
            </w:r>
          </w:p>
          <w:p w:rsidR="00CE7DF8" w:rsidRDefault="006E04C2" w:rsidP="00B42092">
            <w:pPr>
              <w:spacing w:line="24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 w:rsidRDefault="00191063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 w:rsidRDefault="006E04C2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B42092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 w:rsidRDefault="00191063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 w:rsidRDefault="006E04C2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16" w:name="审核组成员不含组长"/>
            <w:bookmarkEnd w:id="16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审核组长：</w:t>
            </w:r>
            <w:r w:rsidR="00B42092"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受审核方代表：</w:t>
            </w:r>
          </w:p>
          <w:p w:rsidR="00CE7DF8" w:rsidRDefault="006E04C2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 w:rsidR="00524642">
        <w:trPr>
          <w:trHeight w:val="3768"/>
        </w:trPr>
        <w:tc>
          <w:tcPr>
            <w:tcW w:w="10035" w:type="dxa"/>
            <w:gridSpan w:val="4"/>
          </w:tcPr>
          <w:p w:rsidR="00CE7DF8" w:rsidRDefault="006E04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 w:rsidRDefault="0019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9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9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191063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Default="006E04C2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CE7DF8" w:rsidRDefault="006E04C2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524642">
        <w:trPr>
          <w:trHeight w:val="1702"/>
        </w:trPr>
        <w:tc>
          <w:tcPr>
            <w:tcW w:w="10028" w:type="dxa"/>
          </w:tcPr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</w:tc>
      </w:tr>
      <w:tr w:rsidR="00524642">
        <w:trPr>
          <w:trHeight w:val="1393"/>
        </w:trPr>
        <w:tc>
          <w:tcPr>
            <w:tcW w:w="10028" w:type="dxa"/>
          </w:tcPr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</w:tc>
      </w:tr>
      <w:tr w:rsidR="00524642">
        <w:trPr>
          <w:trHeight w:val="1854"/>
        </w:trPr>
        <w:tc>
          <w:tcPr>
            <w:tcW w:w="10028" w:type="dxa"/>
          </w:tcPr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</w:tc>
      </w:tr>
      <w:tr w:rsidR="00524642">
        <w:trPr>
          <w:trHeight w:val="1537"/>
        </w:trPr>
        <w:tc>
          <w:tcPr>
            <w:tcW w:w="10028" w:type="dxa"/>
          </w:tcPr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 w:rsidR="00524642">
        <w:trPr>
          <w:trHeight w:val="1699"/>
        </w:trPr>
        <w:tc>
          <w:tcPr>
            <w:tcW w:w="10028" w:type="dxa"/>
          </w:tcPr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</w:tc>
      </w:tr>
      <w:tr w:rsidR="00524642">
        <w:trPr>
          <w:trHeight w:val="2485"/>
        </w:trPr>
        <w:tc>
          <w:tcPr>
            <w:tcW w:w="10028" w:type="dxa"/>
          </w:tcPr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191063">
            <w:pPr>
              <w:rPr>
                <w:rFonts w:eastAsia="方正仿宋简体"/>
                <w:b/>
              </w:rPr>
            </w:pPr>
          </w:p>
          <w:p w:rsidR="00CE7DF8" w:rsidRDefault="006E04C2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 w:rsidR="00B42092">
              <w:rPr>
                <w:rFonts w:eastAsia="方正仿宋简体" w:hint="eastAsia"/>
                <w:b/>
              </w:rPr>
              <w:t xml:space="preserve">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 w:rsidRDefault="006E04C2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 w:rsidR="00B42092">
        <w:rPr>
          <w:rFonts w:eastAsia="方正仿宋简体" w:hint="eastAsia"/>
          <w:b/>
        </w:rPr>
        <w:t xml:space="preserve">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R="00CE7DF8" w:rsidSect="00CE7DF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91063" w:rsidRDefault="00191063" w:rsidP="00524642">
      <w:r>
        <w:separator/>
      </w:r>
    </w:p>
  </w:endnote>
  <w:endnote w:type="continuationSeparator" w:id="0">
    <w:p w:rsidR="00191063" w:rsidRDefault="00191063" w:rsidP="005246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黑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E04C2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91063" w:rsidRDefault="00191063" w:rsidP="00524642">
      <w:r>
        <w:separator/>
      </w:r>
    </w:p>
  </w:footnote>
  <w:footnote w:type="continuationSeparator" w:id="0">
    <w:p w:rsidR="00191063" w:rsidRDefault="00191063" w:rsidP="005246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RDefault="006E04C2" w:rsidP="007B682A">
    <w:pPr>
      <w:pStyle w:val="a4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945"/>
      <w:jc w:val="left"/>
      <w:rPr>
        <w:rStyle w:val="CharChar1"/>
        <w:rFonts w:hint="default"/>
      </w:rPr>
    </w:pPr>
    <w:r w:rsidRPr="007B682A">
      <w:rPr>
        <w:rStyle w:val="CharChar1"/>
        <w:rFonts w:hint="default"/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17AE1" w:rsidRPr="00E17AE1"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400.15pt;margin-top:10.1pt;width:88.15pt;height:20.2pt;z-index:251658240;mso-position-horizontal-relative:text;mso-position-vertical-relative:text" stroked="f">
          <v:textbox>
            <w:txbxContent>
              <w:p w:rsidR="00CE7DF8" w:rsidRDefault="006E04C2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CE7DF8" w:rsidRDefault="006E04C2" w:rsidP="00B42092">
    <w:pPr>
      <w:pStyle w:val="a4"/>
      <w:pBdr>
        <w:bottom w:val="single" w:sz="4" w:space="1" w:color="auto"/>
      </w:pBdr>
      <w:spacing w:line="320" w:lineRule="exact"/>
      <w:ind w:firstLineChars="546" w:firstLine="883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</w:rPr>
      <w:t>Co.,Ltd</w:t>
    </w:r>
    <w:proofErr w:type="spellEnd"/>
    <w:r>
      <w:rPr>
        <w:rStyle w:val="CharChar1"/>
        <w:rFonts w:hint="default"/>
        <w:w w:val="90"/>
        <w:sz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4642"/>
    <w:rsid w:val="00191063"/>
    <w:rsid w:val="00524642"/>
    <w:rsid w:val="006E04C2"/>
    <w:rsid w:val="007F241E"/>
    <w:rsid w:val="00B42092"/>
    <w:rsid w:val="00E17AE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CE7DF8"/>
    <w:pPr>
      <w:ind w:firstLineChars="200" w:firstLine="420"/>
    </w:pPr>
  </w:style>
  <w:style w:type="character" w:customStyle="1" w:styleId="apple-converted-space">
    <w:name w:val="apple-converted-space"/>
    <w:basedOn w:val="a0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2</Pages>
  <Words>148</Words>
  <Characters>846</Characters>
  <Application>Microsoft Office Word</Application>
  <DocSecurity>0</DocSecurity>
  <Lines>7</Lines>
  <Paragraphs>1</Paragraphs>
  <ScaleCrop>false</ScaleCrop>
  <Company>微软中国</Company>
  <LinksUpToDate>false</LinksUpToDate>
  <CharactersWithSpaces>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30</cp:revision>
  <cp:lastPrinted>2019-05-13T03:02:00Z</cp:lastPrinted>
  <dcterms:created xsi:type="dcterms:W3CDTF">2015-06-17T14:39:00Z</dcterms:created>
  <dcterms:modified xsi:type="dcterms:W3CDTF">2023-02-06T07:49:00Z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