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0135-2023-Q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重庆爱景节能技术有限公司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重庆爱景节能技术有限公司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重庆市两江新区西湖支路2号精信中心B塔9层4号</w:t>
            </w:r>
            <w:bookmarkEnd w:id="6"/>
          </w:p>
        </w:tc>
        <w:tc>
          <w:tcPr>
            <w:tcW w:w="1242" w:type="dxa"/>
            <w:vMerge w:val="restart"/>
            <w:vAlign w:val="center"/>
          </w:tcPr>
          <w:p>
            <w:r>
              <w:rPr>
                <w:rFonts w:hint="eastAsia"/>
              </w:rPr>
              <w:t>邮编</w:t>
            </w:r>
          </w:p>
        </w:tc>
        <w:tc>
          <w:tcPr>
            <w:tcW w:w="1771" w:type="dxa"/>
          </w:tcPr>
          <w:p>
            <w:bookmarkStart w:id="7" w:name="注册邮编"/>
            <w:r>
              <w:t>404100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重庆市两江新区西湖支路2号精信中心B塔9层4号</w:t>
            </w:r>
            <w:bookmarkEnd w:id="8"/>
          </w:p>
        </w:tc>
        <w:tc>
          <w:tcPr>
            <w:tcW w:w="1242" w:type="dxa"/>
            <w:vMerge w:val="continue"/>
            <w:vAlign w:val="center"/>
          </w:tcPr>
          <w:p/>
        </w:tc>
        <w:tc>
          <w:tcPr>
            <w:tcW w:w="1771" w:type="dxa"/>
          </w:tcPr>
          <w:p>
            <w:bookmarkStart w:id="9" w:name="办公邮编"/>
            <w:r>
              <w:t>404100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刘欢</w:t>
            </w:r>
            <w:bookmarkEnd w:id="10"/>
          </w:p>
        </w:tc>
        <w:tc>
          <w:tcPr>
            <w:tcW w:w="1313" w:type="dxa"/>
            <w:vAlign w:val="center"/>
          </w:tcPr>
          <w:p>
            <w:r>
              <w:rPr>
                <w:rFonts w:hint="eastAsia"/>
              </w:rPr>
              <w:t>电话.</w:t>
            </w:r>
          </w:p>
        </w:tc>
        <w:tc>
          <w:tcPr>
            <w:tcW w:w="2180" w:type="dxa"/>
            <w:vAlign w:val="center"/>
          </w:tcPr>
          <w:p>
            <w:bookmarkStart w:id="11" w:name="联系人电话"/>
            <w:r>
              <w:t>17723260520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曾庆斌</w:t>
            </w:r>
            <w:bookmarkEnd w:id="13"/>
          </w:p>
        </w:tc>
        <w:tc>
          <w:tcPr>
            <w:tcW w:w="1313" w:type="dxa"/>
            <w:vAlign w:val="center"/>
          </w:tcPr>
          <w:p>
            <w:r>
              <w:rPr>
                <w:rFonts w:hint="eastAsia"/>
              </w:rPr>
              <w:t>管理者代表</w:t>
            </w:r>
          </w:p>
        </w:tc>
        <w:tc>
          <w:tcPr>
            <w:tcW w:w="2180" w:type="dxa"/>
          </w:tcPr>
          <w:p>
            <w:bookmarkStart w:id="14" w:name="管理者代表"/>
            <w:r>
              <w:t>金茜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pStyle w:val="3"/>
            </w:pPr>
            <w:r>
              <w:rPr>
                <w:rFonts w:hint="eastAsia"/>
                <w:highlight w:val="none"/>
                <w:lang w:val="en-US" w:eastAsia="zh-CN"/>
              </w:rPr>
              <w:t>合同签订</w:t>
            </w:r>
            <w:r>
              <w:rPr>
                <w:rFonts w:hint="default" w:ascii="Arial" w:hAnsi="Arial" w:cs="Arial"/>
                <w:highlight w:val="none"/>
                <w:lang w:val="en-US" w:eastAsia="zh-CN"/>
              </w:rPr>
              <w:t>→</w:t>
            </w:r>
            <w:r>
              <w:rPr>
                <w:rFonts w:hint="eastAsia"/>
                <w:highlight w:val="none"/>
                <w:lang w:val="en-US" w:eastAsia="zh-CN"/>
              </w:rPr>
              <w:t>能源数据收集</w:t>
            </w:r>
            <w:r>
              <w:rPr>
                <w:rFonts w:hint="default" w:ascii="Arial" w:hAnsi="Arial" w:cs="Arial"/>
                <w:highlight w:val="none"/>
                <w:lang w:val="en-US" w:eastAsia="zh-CN"/>
              </w:rPr>
              <w:t>→</w:t>
            </w:r>
            <w:r>
              <w:rPr>
                <w:rFonts w:hint="eastAsia" w:ascii="Arial" w:hAnsi="Arial" w:cs="Arial"/>
                <w:highlight w:val="none"/>
                <w:lang w:val="en-US" w:eastAsia="zh-CN"/>
              </w:rPr>
              <w:t>能源改造项目设计</w:t>
            </w:r>
            <w:r>
              <w:rPr>
                <w:rFonts w:hint="default" w:ascii="Arial" w:hAnsi="Arial" w:cs="Arial"/>
                <w:highlight w:val="none"/>
                <w:lang w:val="en-US" w:eastAsia="zh-CN"/>
              </w:rPr>
              <w:t>→</w:t>
            </w:r>
            <w:r>
              <w:rPr>
                <w:rFonts w:hint="eastAsia" w:ascii="Arial" w:hAnsi="Arial" w:cs="Arial"/>
                <w:highlight w:val="none"/>
                <w:lang w:val="en-US" w:eastAsia="zh-CN"/>
              </w:rPr>
              <w:t>能源改造项目施工（外包）</w:t>
            </w:r>
            <w:r>
              <w:rPr>
                <w:rFonts w:hint="default" w:ascii="Arial" w:hAnsi="Arial" w:cs="Arial"/>
                <w:highlight w:val="none"/>
                <w:lang w:val="en-US" w:eastAsia="zh-CN"/>
              </w:rPr>
              <w:t>→</w:t>
            </w:r>
            <w:r>
              <w:rPr>
                <w:rFonts w:hint="eastAsia" w:ascii="Arial" w:hAnsi="Arial" w:cs="Arial"/>
                <w:highlight w:val="none"/>
                <w:lang w:val="en-US" w:eastAsia="zh-CN"/>
              </w:rPr>
              <w:t>项目验收</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2023年02月08日 上午至2023年02月08日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重庆市两江新区西湖支路2号精信中心B塔9层4号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压缩空气系统节能技术及合同能源管理服务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34.06.00;35.04.02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12</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重庆市两江新区西湖支路2号精信中心B塔9层4号</w:t>
            </w:r>
          </w:p>
        </w:tc>
        <w:tc>
          <w:tcPr>
            <w:tcW w:w="2267" w:type="dxa"/>
          </w:tcPr>
          <w:p>
            <w:pPr>
              <w:rPr>
                <w:lang w:val="de-DE" w:eastAsia="ja-JP"/>
              </w:rPr>
            </w:pPr>
            <w:r>
              <w:rPr>
                <w:rFonts w:asciiTheme="minorEastAsia" w:hAnsiTheme="minorEastAsia" w:eastAsiaTheme="minorEastAsia"/>
                <w:sz w:val="20"/>
              </w:rPr>
              <w:t>重庆市两江新区西湖支路2号精信中心B塔9层4号</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sz w:val="20"/>
              </w:rPr>
              <w:t>压缩空气系统节能技术及合同能源管理服务</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tc>
        <w:tc>
          <w:tcPr>
            <w:tcW w:w="2179" w:type="dxa"/>
            <w:vAlign w:val="center"/>
          </w:tcPr>
          <w:p>
            <w:r>
              <w:t>34.06.00,35.04.02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4" w:hRule="exact"/>
          <w:jc w:val="center"/>
        </w:trPr>
        <w:tc>
          <w:tcPr>
            <w:tcW w:w="1842" w:type="dxa"/>
          </w:tcPr>
          <w:p>
            <w:pPr>
              <w:rPr>
                <w:rFonts w:hint="eastAsia"/>
              </w:rPr>
            </w:pPr>
          </w:p>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169545</wp:posOffset>
                  </wp:positionH>
                  <wp:positionV relativeFrom="paragraph">
                    <wp:posOffset>172085</wp:posOffset>
                  </wp:positionV>
                  <wp:extent cx="812165" cy="275590"/>
                  <wp:effectExtent l="0" t="0" r="635" b="3810"/>
                  <wp:wrapNone/>
                  <wp:docPr id="39" name="图片 39"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pPr>
              <w:rPr>
                <w:rFonts w:hint="eastAsia"/>
              </w:rPr>
            </w:pPr>
          </w:p>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2023年2月8日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lang w:eastAsia="zh-CN"/>
              </w:rPr>
              <w:t>☑</w:t>
            </w:r>
            <w:r>
              <w:rPr>
                <w:rFonts w:hint="eastAsia"/>
              </w:rPr>
              <w:t>新产品设计开发□原材料采购□外部供方控制□生产/服务控制□其他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lang w:eastAsia="zh-CN"/>
              </w:rPr>
              <w:t>□</w:t>
            </w:r>
            <w:r>
              <w:rPr>
                <w:rFonts w:hint="eastAsia"/>
                <w:color w:val="auto"/>
              </w:rPr>
              <w:t>新产品设计开发□原材料订制□生产/服务过程□检验检测□产品运输□设备维修</w:t>
            </w:r>
          </w:p>
          <w:p>
            <w:pPr>
              <w:shd w:val="clear" w:color="auto" w:fill="C7DAF1" w:themeFill="text2" w:themeFillTint="32"/>
              <w:spacing w:before="40" w:after="40"/>
              <w:rPr>
                <w:color w:val="auto"/>
              </w:rPr>
            </w:pPr>
            <w:r>
              <w:rPr>
                <w:rFonts w:hint="eastAsia"/>
                <w:color w:val="auto"/>
                <w:lang w:eastAsia="zh-CN"/>
              </w:rPr>
              <w:t>□</w:t>
            </w:r>
            <w:r>
              <w:rPr>
                <w:rFonts w:hint="eastAsia"/>
                <w:color w:val="auto"/>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最高管理者制定了文件化的管理体</w:t>
            </w:r>
            <w:r>
              <w:rPr>
                <w:rFonts w:hint="eastAsia" w:ascii="Times New Roman" w:hAnsi="Times New Roman" w:eastAsia="宋体" w:cs="Times New Roman"/>
              </w:rPr>
              <w:t>系</w:t>
            </w:r>
            <w:r>
              <w:rPr>
                <w:rFonts w:hint="eastAsia" w:ascii="Times New Roman" w:hAnsi="Times New Roman" w:eastAsia="宋体" w:cs="Times New Roman"/>
              </w:rPr>
              <w:t>方针：“技术创新、优质服务、持续改进、顾客满意”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宋体" w:hAnsi="宋体" w:cs="新宋体"/>
                <w:sz w:val="21"/>
                <w:szCs w:val="21"/>
                <w:lang w:eastAsia="zh-CN"/>
              </w:rPr>
              <w:t>总经办</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7"/>
              <w:gridCol w:w="3255"/>
              <w:gridCol w:w="1080"/>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25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8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19"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2597" w:type="dxa"/>
                  <w:shd w:val="clear" w:color="auto" w:fill="auto"/>
                  <w:vAlign w:val="top"/>
                </w:tcPr>
                <w:p>
                  <w:pPr>
                    <w:shd w:val="clear" w:color="auto" w:fill="C7DAF1" w:themeFill="text2" w:themeFillTint="32"/>
                    <w:rPr>
                      <w:rFonts w:hint="eastAsia" w:ascii="宋体" w:hAnsi="宋体" w:eastAsia="宋体" w:cs="Times New Roman"/>
                      <w:lang w:val="en-US" w:eastAsia="zh-CN"/>
                    </w:rPr>
                  </w:pPr>
                  <w:bookmarkStart w:id="34" w:name="_Hlk65949131"/>
                  <w:r>
                    <w:rPr>
                      <w:rFonts w:hint="eastAsia" w:ascii="宋体" w:hAnsi="宋体" w:eastAsia="宋体" w:cs="Times New Roman"/>
                      <w:lang w:eastAsia="zh-CN"/>
                    </w:rPr>
                    <w:t>服务合同履约率</w:t>
                  </w:r>
                  <w:r>
                    <w:rPr>
                      <w:rFonts w:hint="eastAsia" w:ascii="宋体" w:hAnsi="宋体" w:eastAsia="宋体" w:cs="Times New Roman"/>
                    </w:rPr>
                    <w:t>100％</w:t>
                  </w:r>
                  <w:bookmarkEnd w:id="34"/>
                </w:p>
              </w:tc>
              <w:tc>
                <w:tcPr>
                  <w:tcW w:w="3255"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lang w:eastAsia="zh-CN"/>
                    </w:rPr>
                    <w:t>履约</w:t>
                  </w:r>
                  <w:r>
                    <w:rPr>
                      <w:rFonts w:hint="eastAsia" w:ascii="宋体" w:hAnsi="宋体" w:eastAsia="宋体" w:cs="Times New Roman"/>
                    </w:rPr>
                    <w:t>总数/</w:t>
                  </w:r>
                  <w:r>
                    <w:rPr>
                      <w:rFonts w:hint="eastAsia" w:ascii="宋体" w:hAnsi="宋体" w:eastAsia="宋体" w:cs="Times New Roman"/>
                      <w:lang w:eastAsia="zh-CN"/>
                    </w:rPr>
                    <w:t>交付合同数</w:t>
                  </w:r>
                  <w:r>
                    <w:rPr>
                      <w:rFonts w:hint="eastAsia" w:ascii="宋体" w:hAnsi="宋体" w:eastAsia="宋体" w:cs="Times New Roman"/>
                    </w:rPr>
                    <w:t>*100%</w:t>
                  </w:r>
                </w:p>
              </w:tc>
              <w:tc>
                <w:tcPr>
                  <w:tcW w:w="1080"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lang w:val="en-GB" w:eastAsia="zh-CN"/>
                    </w:rPr>
                    <w:t>总经办</w:t>
                  </w:r>
                </w:p>
              </w:tc>
              <w:tc>
                <w:tcPr>
                  <w:tcW w:w="1519"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597"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合同按时完成率100%</w:t>
                  </w:r>
                </w:p>
              </w:tc>
              <w:tc>
                <w:tcPr>
                  <w:tcW w:w="3255"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按时完成数/合同总数*100%</w:t>
                  </w:r>
                </w:p>
              </w:tc>
              <w:tc>
                <w:tcPr>
                  <w:tcW w:w="1080"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eastAsia="宋体" w:cs="Times New Roman"/>
                      <w:lang w:eastAsia="zh-CN"/>
                    </w:rPr>
                    <w:t>总经办</w:t>
                  </w:r>
                </w:p>
              </w:tc>
              <w:tc>
                <w:tcPr>
                  <w:tcW w:w="1519"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97"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顾客满意度≥90分</w:t>
                  </w:r>
                </w:p>
              </w:tc>
              <w:tc>
                <w:tcPr>
                  <w:tcW w:w="3255"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满意得分和/总调查数</w:t>
                  </w:r>
                </w:p>
              </w:tc>
              <w:tc>
                <w:tcPr>
                  <w:tcW w:w="1080"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eastAsia="宋体" w:cs="Times New Roman"/>
                      <w:lang w:eastAsia="zh-CN"/>
                    </w:rPr>
                    <w:t>总经办</w:t>
                  </w:r>
                </w:p>
              </w:tc>
              <w:tc>
                <w:tcPr>
                  <w:tcW w:w="1519"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9</w:t>
                  </w:r>
                  <w:r>
                    <w:rPr>
                      <w:rFonts w:hint="eastAsia" w:ascii="宋体" w:hAnsi="宋体" w:eastAsia="宋体" w:cs="Times New Roman"/>
                      <w:lang w:val="en-US" w:eastAsia="zh-CN"/>
                    </w:rPr>
                    <w:t>5</w:t>
                  </w:r>
                  <w:r>
                    <w:rPr>
                      <w:rFonts w:hint="eastAsia" w:ascii="宋体" w:hAnsi="宋体" w:eastAsia="宋体" w:cs="Times New Roma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vAlign w:val="center"/>
                </w:tcPr>
                <w:p>
                  <w:pPr>
                    <w:shd w:val="clear" w:color="auto" w:fill="C7DAF1" w:themeFill="text2" w:themeFillTint="32"/>
                    <w:rPr>
                      <w:rFonts w:hint="eastAsia" w:ascii="宋体" w:hAnsi="宋体" w:eastAsia="宋体" w:cs="Times New Roman"/>
                    </w:rPr>
                  </w:pPr>
                </w:p>
              </w:tc>
              <w:tc>
                <w:tcPr>
                  <w:tcW w:w="3255" w:type="dxa"/>
                  <w:shd w:val="clear" w:color="auto" w:fill="auto"/>
                  <w:vAlign w:val="center"/>
                </w:tcPr>
                <w:p>
                  <w:pPr>
                    <w:shd w:val="clear" w:color="auto" w:fill="C7DAF1" w:themeFill="text2" w:themeFillTint="32"/>
                    <w:rPr>
                      <w:rFonts w:hint="eastAsia" w:ascii="宋体" w:hAnsi="宋体" w:eastAsia="宋体" w:cs="Times New Roman"/>
                    </w:rPr>
                  </w:pPr>
                </w:p>
              </w:tc>
              <w:tc>
                <w:tcPr>
                  <w:tcW w:w="1080" w:type="dxa"/>
                  <w:shd w:val="clear" w:color="auto" w:fill="auto"/>
                  <w:vAlign w:val="center"/>
                </w:tcPr>
                <w:p>
                  <w:pPr>
                    <w:shd w:val="clear" w:color="auto" w:fill="C7DAF1" w:themeFill="text2" w:themeFillTint="32"/>
                    <w:rPr>
                      <w:rFonts w:hint="eastAsia" w:ascii="宋体" w:hAnsi="宋体" w:eastAsia="宋体" w:cs="Times New Roman"/>
                      <w:lang w:eastAsia="zh-CN"/>
                    </w:rPr>
                  </w:pPr>
                </w:p>
              </w:tc>
              <w:tc>
                <w:tcPr>
                  <w:tcW w:w="1519" w:type="dxa"/>
                  <w:shd w:val="clear" w:color="auto" w:fill="auto"/>
                  <w:vAlign w:val="center"/>
                </w:tcPr>
                <w:p>
                  <w:pPr>
                    <w:shd w:val="clear" w:color="auto" w:fill="C7DAF1" w:themeFill="text2" w:themeFillTint="32"/>
                    <w:rPr>
                      <w:rFonts w:hint="eastAsia"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vAlign w:val="center"/>
                </w:tcPr>
                <w:p>
                  <w:pPr>
                    <w:shd w:val="clear" w:color="auto" w:fill="C7DAF1" w:themeFill="text2" w:themeFillTint="32"/>
                    <w:rPr>
                      <w:rFonts w:hint="eastAsia" w:ascii="宋体" w:hAnsi="宋体" w:eastAsia="宋体" w:cs="Times New Roman"/>
                    </w:rPr>
                  </w:pPr>
                </w:p>
              </w:tc>
              <w:tc>
                <w:tcPr>
                  <w:tcW w:w="3255" w:type="dxa"/>
                  <w:shd w:val="clear" w:color="auto" w:fill="auto"/>
                  <w:vAlign w:val="center"/>
                </w:tcPr>
                <w:p>
                  <w:pPr>
                    <w:shd w:val="clear" w:color="auto" w:fill="C7DAF1" w:themeFill="text2" w:themeFillTint="32"/>
                    <w:rPr>
                      <w:rFonts w:hint="eastAsia" w:ascii="宋体" w:hAnsi="宋体" w:eastAsia="宋体" w:cs="Times New Roman"/>
                    </w:rPr>
                  </w:pPr>
                </w:p>
              </w:tc>
              <w:tc>
                <w:tcPr>
                  <w:tcW w:w="1080" w:type="dxa"/>
                  <w:shd w:val="clear" w:color="auto" w:fill="auto"/>
                  <w:vAlign w:val="center"/>
                </w:tcPr>
                <w:p>
                  <w:pPr>
                    <w:shd w:val="clear" w:color="auto" w:fill="C7DAF1" w:themeFill="text2" w:themeFillTint="32"/>
                    <w:rPr>
                      <w:rFonts w:hint="eastAsia" w:ascii="宋体" w:hAnsi="宋体" w:eastAsia="宋体" w:cs="Times New Roman"/>
                      <w:lang w:eastAsia="zh-CN"/>
                    </w:rPr>
                  </w:pPr>
                </w:p>
              </w:tc>
              <w:tc>
                <w:tcPr>
                  <w:tcW w:w="1519" w:type="dxa"/>
                  <w:shd w:val="clear" w:color="auto" w:fill="auto"/>
                  <w:vAlign w:val="center"/>
                </w:tcPr>
                <w:p>
                  <w:pPr>
                    <w:shd w:val="clear" w:color="auto" w:fill="C7DAF1" w:themeFill="text2" w:themeFillTint="32"/>
                    <w:rPr>
                      <w:rFonts w:hint="eastAsia" w:ascii="宋体" w:hAnsi="宋体" w:eastAsia="宋体" w:cs="Times New Roman"/>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highlight w:val="none"/>
              </w:rPr>
            </w:pPr>
            <w:r>
              <w:rPr>
                <w:rFonts w:hint="eastAsia"/>
                <w:color w:val="auto"/>
                <w:highlight w:val="none"/>
                <w:lang w:eastAsia="zh-CN"/>
              </w:rPr>
              <w:t>建筑面积</w:t>
            </w:r>
            <w:r>
              <w:rPr>
                <w:rFonts w:hint="eastAsia"/>
                <w:color w:val="auto"/>
                <w:highlight w:val="none"/>
                <w:lang w:val="en-US" w:eastAsia="zh-CN"/>
              </w:rPr>
              <w:t>2</w:t>
            </w:r>
            <w:r>
              <w:rPr>
                <w:rFonts w:hint="eastAsia"/>
                <w:color w:val="auto"/>
                <w:highlight w:val="none"/>
                <w:lang w:eastAsia="zh-CN"/>
              </w:rPr>
              <w:t>00平</w:t>
            </w:r>
            <w:r>
              <w:rPr>
                <w:rFonts w:hint="eastAsia"/>
                <w:color w:val="auto"/>
                <w:highlight w:val="none"/>
                <w:lang w:val="en-US" w:eastAsia="zh-CN"/>
              </w:rPr>
              <w:t>方米</w:t>
            </w:r>
            <w:r>
              <w:rPr>
                <w:rFonts w:hint="eastAsia"/>
                <w:color w:val="auto"/>
                <w:highlight w:val="none"/>
              </w:rPr>
              <w:t>；生产车间</w:t>
            </w:r>
            <w:r>
              <w:rPr>
                <w:rFonts w:hint="eastAsia"/>
                <w:color w:val="auto"/>
                <w:highlight w:val="none"/>
                <w:lang w:val="en-US" w:eastAsia="zh-CN"/>
              </w:rPr>
              <w:t>0</w:t>
            </w:r>
            <w:r>
              <w:rPr>
                <w:rFonts w:hint="eastAsia"/>
                <w:color w:val="auto"/>
                <w:highlight w:val="none"/>
              </w:rPr>
              <w:t>个；库房</w:t>
            </w:r>
            <w:r>
              <w:rPr>
                <w:rFonts w:hint="eastAsia"/>
                <w:color w:val="auto"/>
                <w:highlight w:val="none"/>
                <w:lang w:val="en-US" w:eastAsia="zh-CN"/>
              </w:rPr>
              <w:t>0</w:t>
            </w:r>
            <w:r>
              <w:rPr>
                <w:rFonts w:hint="eastAsia"/>
                <w:color w:val="auto"/>
                <w:highlight w:val="none"/>
              </w:rPr>
              <w:t>个；实验室</w:t>
            </w:r>
            <w:r>
              <w:rPr>
                <w:rFonts w:hint="eastAsia"/>
                <w:color w:val="auto"/>
                <w:highlight w:val="none"/>
                <w:lang w:val="en-US" w:eastAsia="zh-CN"/>
              </w:rPr>
              <w:t>0</w:t>
            </w:r>
            <w:r>
              <w:rPr>
                <w:rFonts w:hint="eastAsia"/>
                <w:color w:val="auto"/>
                <w:highlight w:val="none"/>
              </w:rPr>
              <w:t>个；</w:t>
            </w:r>
          </w:p>
          <w:p>
            <w:pPr>
              <w:shd w:val="clear" w:color="auto" w:fill="C7DAF1" w:themeFill="text2" w:themeFillTint="32"/>
              <w:rPr>
                <w:u w:val="single"/>
              </w:rPr>
            </w:pPr>
            <w:r>
              <w:rPr>
                <w:rFonts w:hint="eastAsia"/>
              </w:rPr>
              <w:t>主要生产设备有：</w:t>
            </w:r>
            <w:r>
              <w:rPr>
                <w:rFonts w:hint="eastAsia" w:ascii="Times New Roman" w:hAnsi="Times New Roman" w:eastAsia="宋体" w:cs="Times New Roman"/>
                <w:u w:val="single"/>
                <w:lang w:eastAsia="zh-CN"/>
              </w:rPr>
              <w:t>电脑、打印机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67"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rPr>
              <w:t>组</w:t>
            </w:r>
            <w:r>
              <w:rPr>
                <w:rFonts w:hint="eastAsia"/>
                <w:color w:val="auto"/>
              </w:rPr>
              <w:t>织的</w:t>
            </w:r>
            <w:r>
              <w:rPr>
                <w:color w:val="auto"/>
              </w:rPr>
              <w:t>监视和测量资源</w:t>
            </w:r>
            <w:r>
              <w:rPr>
                <w:rFonts w:hint="eastAsia"/>
                <w:color w:val="auto"/>
              </w:rPr>
              <w:t>：</w:t>
            </w:r>
            <w:r>
              <w:rPr>
                <w:rFonts w:hint="eastAsia" w:ascii="Wingdings" w:hAnsi="Wingdings"/>
                <w:color w:val="auto"/>
                <w:lang w:eastAsia="zh-CN"/>
              </w:rPr>
              <w:t>□</w:t>
            </w:r>
            <w:r>
              <w:rPr>
                <w:rFonts w:hint="eastAsia"/>
                <w:color w:val="auto"/>
              </w:rPr>
              <w:t>计量器具</w:t>
            </w:r>
            <w:r>
              <w:rPr>
                <w:rFonts w:hint="eastAsia" w:ascii="Wingdings" w:hAnsi="Wingdings"/>
                <w:color w:val="auto"/>
                <w:lang w:eastAsia="zh-CN"/>
              </w:rPr>
              <w:t>□</w:t>
            </w:r>
            <w:r>
              <w:rPr>
                <w:rFonts w:hint="eastAsia"/>
                <w:color w:val="auto"/>
              </w:rPr>
              <w:t>服务流程检查表</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t>□</w:t>
            </w:r>
            <w:r>
              <w:rPr>
                <w:rFonts w:hint="eastAsia"/>
                <w:color w:val="auto"/>
              </w:rPr>
              <w:t>外校</w:t>
            </w:r>
          </w:p>
          <w:p>
            <w:pPr>
              <w:shd w:val="clear" w:color="auto" w:fill="C7DAF1" w:themeFill="text2" w:themeFillTint="32"/>
              <w:rPr>
                <w:rFonts w:hint="eastAsia" w:eastAsia="宋体"/>
                <w:color w:val="auto"/>
                <w:u w:val="single"/>
                <w:lang w:val="en-US" w:eastAsia="zh-CN"/>
              </w:rPr>
            </w:pPr>
            <w:r>
              <w:rPr>
                <w:rFonts w:hint="eastAsia"/>
                <w:color w:val="auto"/>
              </w:rPr>
              <w:t>国家强检的计量器具有：</w:t>
            </w:r>
            <w:r>
              <w:rPr>
                <w:rFonts w:hint="eastAsia"/>
                <w:color w:val="auto"/>
                <w:lang w:val="en-US" w:eastAsia="zh-CN"/>
              </w:rPr>
              <w:t>无</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Times New Roman" w:hAnsi="Times New Roman" w:eastAsia="宋体" w:cs="Times New Roman"/>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ascii="Times New Roman" w:hAnsi="Times New Roman" w:eastAsia="宋体" w:cs="Times New Roman"/>
              </w:rPr>
              <w:t>其他</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能源改造项目施工</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7"/>
              <w:gridCol w:w="1095"/>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pPr>
                    <w:shd w:val="clear" w:color="auto" w:fill="C7DAF1" w:themeFill="text2" w:themeFillTint="32"/>
                    <w:jc w:val="left"/>
                  </w:pPr>
                  <w:r>
                    <w:rPr>
                      <w:rFonts w:hint="eastAsia"/>
                    </w:rPr>
                    <w:t>产品/服务名称</w:t>
                  </w:r>
                </w:p>
              </w:tc>
              <w:tc>
                <w:tcPr>
                  <w:tcW w:w="1095" w:type="dxa"/>
                </w:tcPr>
                <w:p>
                  <w:pPr>
                    <w:shd w:val="clear" w:color="auto" w:fill="C7DAF1" w:themeFill="text2" w:themeFillTint="32"/>
                    <w:jc w:val="left"/>
                  </w:pPr>
                  <w:r>
                    <w:rPr>
                      <w:rFonts w:hint="eastAsia"/>
                    </w:rPr>
                    <w:t>关键过程</w:t>
                  </w:r>
                </w:p>
              </w:tc>
              <w:tc>
                <w:tcPr>
                  <w:tcW w:w="4140" w:type="dxa"/>
                </w:tcPr>
                <w:p>
                  <w:pPr>
                    <w:shd w:val="clear" w:color="auto" w:fill="C7DAF1" w:themeFill="text2" w:themeFillTint="32"/>
                    <w:jc w:val="left"/>
                  </w:pPr>
                  <w:r>
                    <w:rPr>
                      <w:rFonts w:hint="eastAsia"/>
                    </w:rPr>
                    <w:t>控制内容（</w:t>
                  </w:r>
                  <w:r>
                    <w:rPr>
                      <w:rFonts w:hint="eastAsia"/>
                      <w:lang w:val="en-US" w:eastAsia="zh-CN"/>
                    </w:rPr>
                    <w:t>方案、过程</w:t>
                  </w:r>
                  <w:r>
                    <w:rPr>
                      <w:rFonts w:hint="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vMerge w:val="restart"/>
                </w:tcPr>
                <w:p>
                  <w:pPr>
                    <w:rPr>
                      <w:rFonts w:hint="eastAsia" w:eastAsia="宋体"/>
                      <w:lang w:eastAsia="zh-CN"/>
                    </w:rPr>
                  </w:pPr>
                  <w:r>
                    <w:rPr>
                      <w:sz w:val="20"/>
                    </w:rPr>
                    <w:t>压缩空气系统节能技术及合同能源管理服务</w:t>
                  </w:r>
                </w:p>
              </w:tc>
              <w:tc>
                <w:tcPr>
                  <w:tcW w:w="109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服务过程</w:t>
                  </w:r>
                  <w:r>
                    <w:rPr>
                      <w:rFonts w:hint="eastAsia" w:ascii="Times New Roman" w:hAnsi="Times New Roman" w:eastAsia="宋体" w:cs="Times New Roman"/>
                    </w:rPr>
                    <w:t xml:space="preserve"> </w:t>
                  </w:r>
                </w:p>
              </w:tc>
              <w:tc>
                <w:tcPr>
                  <w:tcW w:w="4140"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过程确认、人员培训、过程监控等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7" w:type="dxa"/>
                  <w:vMerge w:val="continue"/>
                </w:tcPr>
                <w:p>
                  <w:pPr>
                    <w:shd w:val="clear" w:color="auto" w:fill="C7DAF1" w:themeFill="text2" w:themeFillTint="32"/>
                    <w:jc w:val="left"/>
                  </w:pPr>
                </w:p>
              </w:tc>
              <w:tc>
                <w:tcPr>
                  <w:tcW w:w="1095" w:type="dxa"/>
                </w:tcPr>
                <w:p>
                  <w:pPr>
                    <w:shd w:val="clear" w:color="auto" w:fill="C7DAF1" w:themeFill="text2" w:themeFillTint="32"/>
                    <w:jc w:val="left"/>
                    <w:rPr>
                      <w:rFonts w:hint="default" w:ascii="Times New Roman" w:hAnsi="Times New Roman" w:eastAsia="宋体" w:cs="Times New Roman"/>
                      <w:lang w:val="en-US" w:eastAsia="zh-CN"/>
                    </w:rPr>
                  </w:pPr>
                </w:p>
              </w:tc>
              <w:tc>
                <w:tcPr>
                  <w:tcW w:w="4140" w:type="dxa"/>
                </w:tcPr>
                <w:p>
                  <w:pPr>
                    <w:shd w:val="clear" w:color="auto" w:fill="C7DAF1" w:themeFill="text2" w:themeFillTint="32"/>
                    <w:jc w:val="left"/>
                    <w:rPr>
                      <w:rFonts w:hint="eastAsia"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pPr>
                    <w:shd w:val="clear" w:color="auto" w:fill="C7DAF1" w:themeFill="text2" w:themeFillTint="32"/>
                    <w:jc w:val="left"/>
                  </w:pPr>
                </w:p>
              </w:tc>
              <w:tc>
                <w:tcPr>
                  <w:tcW w:w="1095" w:type="dxa"/>
                </w:tcPr>
                <w:p>
                  <w:pPr>
                    <w:shd w:val="clear" w:color="auto" w:fill="C7DAF1" w:themeFill="text2" w:themeFillTint="32"/>
                    <w:jc w:val="left"/>
                    <w:rPr>
                      <w:rFonts w:hint="eastAsia" w:ascii="Times New Roman" w:hAnsi="Times New Roman" w:eastAsia="宋体" w:cs="Times New Roman"/>
                    </w:rPr>
                  </w:pPr>
                </w:p>
              </w:tc>
              <w:tc>
                <w:tcPr>
                  <w:tcW w:w="4140" w:type="dxa"/>
                </w:tcPr>
                <w:p>
                  <w:pPr>
                    <w:shd w:val="clear" w:color="auto" w:fill="C7DAF1" w:themeFill="text2" w:themeFillTint="32"/>
                    <w:jc w:val="left"/>
                    <w:rPr>
                      <w:rFonts w:hint="eastAsia" w:ascii="Times New Roman" w:hAnsi="Times New Roman" w:eastAsia="宋体" w:cs="Times New Roman"/>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sz w:val="21"/>
                <w:szCs w:val="21"/>
                <w:lang w:val="en-US" w:eastAsia="zh-CN"/>
              </w:rPr>
              <w:t>服务过程</w:t>
            </w:r>
            <w:r>
              <w:rPr>
                <w:rFonts w:hint="eastAsia"/>
                <w:color w:val="FF0000"/>
              </w:rPr>
              <w:t>，</w:t>
            </w:r>
          </w:p>
          <w:p>
            <w:pPr>
              <w:shd w:val="clear" w:color="auto" w:fill="C7DAF1" w:themeFill="text2" w:themeFillTint="32"/>
              <w:jc w:val="left"/>
              <w:rPr>
                <w:rFonts w:hint="default" w:eastAsia="宋体"/>
                <w:lang w:val="en-US" w:eastAsia="zh-CN"/>
              </w:rPr>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开出了不符合，详见不符合材料。</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eastAsia="zh-CN"/>
              </w:rPr>
              <w:t>202</w:t>
            </w:r>
            <w:r>
              <w:rPr>
                <w:rFonts w:hint="eastAsia"/>
                <w:lang w:val="en-US" w:eastAsia="zh-CN"/>
              </w:rPr>
              <w:t>2</w:t>
            </w:r>
            <w:r>
              <w:rPr>
                <w:rFonts w:hint="eastAsia"/>
                <w:lang w:eastAsia="zh-CN"/>
              </w:rPr>
              <w:t>年</w:t>
            </w:r>
            <w:r>
              <w:rPr>
                <w:rFonts w:hint="eastAsia"/>
                <w:lang w:val="en-US" w:eastAsia="zh-CN"/>
              </w:rPr>
              <w:t>9</w:t>
            </w:r>
            <w:r>
              <w:rPr>
                <w:rFonts w:hint="eastAsia"/>
                <w:lang w:eastAsia="zh-CN"/>
              </w:rPr>
              <w:t>月</w:t>
            </w:r>
            <w:r>
              <w:rPr>
                <w:rFonts w:hint="eastAsia"/>
                <w:lang w:val="en-US" w:eastAsia="zh-CN"/>
              </w:rPr>
              <w:t>15</w:t>
            </w:r>
            <w:r>
              <w:rPr>
                <w:rFonts w:hint="eastAsia"/>
                <w:lang w:eastAsia="zh-CN"/>
              </w:rPr>
              <w:t>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eastAsia="zh-CN"/>
              </w:rPr>
              <w:t>20</w:t>
            </w:r>
            <w:r>
              <w:rPr>
                <w:rFonts w:hint="eastAsia"/>
                <w:lang w:val="en-US" w:eastAsia="zh-CN"/>
              </w:rPr>
              <w:t>22</w:t>
            </w:r>
            <w:r>
              <w:rPr>
                <w:rFonts w:hint="eastAsia"/>
                <w:lang w:eastAsia="zh-CN"/>
              </w:rPr>
              <w:t>年</w:t>
            </w:r>
            <w:r>
              <w:rPr>
                <w:rFonts w:hint="eastAsia"/>
                <w:lang w:val="en-US" w:eastAsia="zh-CN"/>
              </w:rPr>
              <w:t>9</w:t>
            </w:r>
            <w:r>
              <w:rPr>
                <w:rFonts w:hint="eastAsia"/>
                <w:lang w:eastAsia="zh-CN"/>
              </w:rPr>
              <w:t>月2</w:t>
            </w:r>
            <w:r>
              <w:rPr>
                <w:rFonts w:hint="eastAsia"/>
                <w:lang w:val="en-US" w:eastAsia="zh-CN"/>
              </w:rPr>
              <w:t>1</w:t>
            </w:r>
            <w:r>
              <w:rPr>
                <w:rFonts w:hint="eastAsia"/>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highlight w:val="none"/>
                <w:lang w:eastAsia="ja-JP"/>
              </w:rPr>
            </w:pPr>
            <w:r>
              <w:rPr>
                <w:rFonts w:hint="eastAsia"/>
                <w:color w:val="auto"/>
                <w:highlight w:val="none"/>
                <w:lang w:val="en-GB"/>
              </w:rPr>
              <w:t>标准条款</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7.1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7.2</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7.3</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7.4</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7.5</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8.2</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8.3</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8.4</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8.5</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8.6</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highlight w:val="none"/>
                <w:lang w:eastAsia="ja-JP"/>
              </w:rPr>
            </w:pPr>
            <w:r>
              <w:rPr>
                <w:rFonts w:hint="eastAsia"/>
                <w:color w:val="auto"/>
                <w:highlight w:val="none"/>
                <w:lang w:val="en-GB"/>
              </w:rPr>
              <w:t>评价*)</w:t>
            </w:r>
          </w:p>
        </w:tc>
        <w:tc>
          <w:tcPr>
            <w:tcW w:w="649"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49"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49"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49"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3</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highlight w:val="none"/>
                <w:lang w:eastAsia="ja-JP"/>
              </w:rPr>
            </w:pPr>
            <w:r>
              <w:rPr>
                <w:rFonts w:hint="eastAsia"/>
                <w:color w:val="auto"/>
                <w:highlight w:val="none"/>
              </w:rPr>
              <w:t>不符合数量</w:t>
            </w:r>
          </w:p>
        </w:tc>
        <w:tc>
          <w:tcPr>
            <w:tcW w:w="649" w:type="dxa"/>
            <w:vAlign w:val="center"/>
          </w:tcPr>
          <w:p>
            <w:pPr>
              <w:shd w:val="clear" w:color="auto" w:fill="C7DAF1" w:themeFill="text2" w:themeFillTint="32"/>
              <w:rPr>
                <w:rFonts w:hint="eastAsia" w:eastAsia="宋体"/>
                <w:color w:val="auto"/>
                <w:highlight w:val="none"/>
                <w:lang w:val="en-US" w:eastAsia="zh-CN"/>
              </w:rPr>
            </w:pPr>
          </w:p>
        </w:tc>
        <w:tc>
          <w:tcPr>
            <w:tcW w:w="650" w:type="dxa"/>
            <w:vAlign w:val="center"/>
          </w:tcPr>
          <w:p>
            <w:pPr>
              <w:shd w:val="clear" w:color="auto" w:fill="C7DAF1" w:themeFill="text2" w:themeFillTint="32"/>
              <w:rPr>
                <w:rFonts w:hint="default" w:eastAsia="宋体"/>
                <w:color w:val="auto"/>
                <w:highlight w:val="none"/>
                <w:lang w:val="en-US" w:eastAsia="zh-CN"/>
              </w:rPr>
            </w:pPr>
          </w:p>
        </w:tc>
        <w:tc>
          <w:tcPr>
            <w:tcW w:w="650" w:type="dxa"/>
            <w:vAlign w:val="center"/>
          </w:tcPr>
          <w:p>
            <w:pPr>
              <w:shd w:val="clear" w:color="auto" w:fill="C7DAF1" w:themeFill="text2" w:themeFillTint="32"/>
              <w:rPr>
                <w:color w:val="auto"/>
                <w:highlight w:val="none"/>
                <w:lang w:eastAsia="ja-JP"/>
              </w:rPr>
            </w:pPr>
          </w:p>
        </w:tc>
        <w:tc>
          <w:tcPr>
            <w:tcW w:w="649"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color w:val="auto"/>
                <w:highlight w:val="none"/>
                <w:lang w:val="en-US" w:eastAsia="zh-CN"/>
              </w:rPr>
            </w:pPr>
          </w:p>
        </w:tc>
        <w:tc>
          <w:tcPr>
            <w:tcW w:w="650" w:type="dxa"/>
            <w:tcBorders>
              <w:bottom w:val="single" w:color="auto" w:sz="4" w:space="0"/>
            </w:tcBorders>
            <w:vAlign w:val="center"/>
          </w:tcPr>
          <w:p>
            <w:pPr>
              <w:shd w:val="clear" w:color="auto" w:fill="C7DAF1" w:themeFill="text2" w:themeFillTint="32"/>
              <w:rPr>
                <w:color w:val="auto"/>
                <w:highlight w:val="none"/>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color w:val="auto"/>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color w:val="auto"/>
                <w:highlight w:val="none"/>
                <w:lang w:val="en-US" w:eastAsia="zh-CN"/>
              </w:rPr>
            </w:pPr>
            <w:r>
              <w:rPr>
                <w:rFonts w:hint="eastAsia" w:eastAsia="宋体"/>
                <w:color w:val="auto"/>
                <w:highlight w:val="none"/>
                <w:lang w:val="en-US" w:eastAsia="zh-CN"/>
              </w:rPr>
              <w:t>1</w:t>
            </w:r>
            <w:bookmarkStart w:id="35" w:name="_GoBack"/>
            <w:bookmarkEnd w:id="35"/>
          </w:p>
        </w:tc>
        <w:tc>
          <w:tcPr>
            <w:tcW w:w="650" w:type="dxa"/>
            <w:tcBorders>
              <w:bottom w:val="single" w:color="auto" w:sz="4" w:space="0"/>
            </w:tcBorders>
            <w:vAlign w:val="center"/>
          </w:tcPr>
          <w:p>
            <w:pPr>
              <w:shd w:val="clear" w:color="auto" w:fill="C7DAF1" w:themeFill="text2" w:themeFillTint="32"/>
              <w:rPr>
                <w:color w:val="auto"/>
                <w:highlight w:val="none"/>
                <w:lang w:eastAsia="ja-JP"/>
              </w:rPr>
            </w:pPr>
          </w:p>
        </w:tc>
        <w:tc>
          <w:tcPr>
            <w:tcW w:w="650" w:type="dxa"/>
            <w:tcBorders>
              <w:bottom w:val="single" w:color="auto" w:sz="4" w:space="0"/>
            </w:tcBorders>
            <w:vAlign w:val="center"/>
          </w:tcPr>
          <w:p>
            <w:pPr>
              <w:shd w:val="clear" w:color="auto" w:fill="C7DAF1" w:themeFill="text2"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637B46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styleId="4">
    <w:name w:val="Body Text 2"/>
    <w:basedOn w:val="1"/>
    <w:qFormat/>
    <w:uiPriority w:val="0"/>
    <w:pPr>
      <w:spacing w:after="120" w:afterLines="0" w:afterAutospacing="0" w:line="480" w:lineRule="auto"/>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18594</Words>
  <Characters>19275</Characters>
  <Lines>150</Lines>
  <Paragraphs>42</Paragraphs>
  <TotalTime>5</TotalTime>
  <ScaleCrop>false</ScaleCrop>
  <LinksUpToDate>false</LinksUpToDate>
  <CharactersWithSpaces>19396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2023-02-12T04:47:04Z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