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0152-2022-EO-2023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重庆融威建材有限公司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重庆融威建材有限公司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重庆市九龙坡区含谷镇环球锦标建材交易市场B区11-6号</w:t>
            </w:r>
            <w:bookmarkEnd w:id="6"/>
          </w:p>
        </w:tc>
        <w:tc>
          <w:tcPr>
            <w:tcW w:w="1242" w:type="dxa"/>
            <w:vMerge w:val="restart"/>
            <w:vAlign w:val="center"/>
          </w:tcPr>
          <w:p>
            <w:r>
              <w:rPr>
                <w:rFonts w:hint="eastAsia"/>
              </w:rPr>
              <w:t>邮编</w:t>
            </w:r>
          </w:p>
        </w:tc>
        <w:tc>
          <w:tcPr>
            <w:tcW w:w="1771" w:type="dxa"/>
          </w:tcPr>
          <w:p>
            <w:bookmarkStart w:id="7" w:name="注册邮编"/>
            <w:r>
              <w:t>401329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重庆市走马镇走马建材交易市场15厅10号</w:t>
            </w:r>
            <w:bookmarkEnd w:id="8"/>
          </w:p>
        </w:tc>
        <w:tc>
          <w:tcPr>
            <w:tcW w:w="1242" w:type="dxa"/>
            <w:vMerge w:val="continue"/>
            <w:vAlign w:val="center"/>
          </w:tcPr>
          <w:p/>
        </w:tc>
        <w:tc>
          <w:tcPr>
            <w:tcW w:w="1771" w:type="dxa"/>
          </w:tcPr>
          <w:p>
            <w:bookmarkStart w:id="9" w:name="办公邮编"/>
            <w:r>
              <w:t>401329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徐善春</w:t>
            </w:r>
            <w:bookmarkEnd w:id="10"/>
          </w:p>
        </w:tc>
        <w:tc>
          <w:tcPr>
            <w:tcW w:w="1313" w:type="dxa"/>
            <w:vAlign w:val="center"/>
          </w:tcPr>
          <w:p>
            <w:r>
              <w:rPr>
                <w:rFonts w:hint="eastAsia"/>
              </w:rPr>
              <w:t>电话.</w:t>
            </w:r>
          </w:p>
        </w:tc>
        <w:tc>
          <w:tcPr>
            <w:tcW w:w="2180" w:type="dxa"/>
            <w:vAlign w:val="center"/>
          </w:tcPr>
          <w:p>
            <w:bookmarkStart w:id="11" w:name="联系人电话"/>
            <w:r>
              <w:t>15902305979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徐敏玲</w:t>
            </w:r>
            <w:bookmarkEnd w:id="13"/>
          </w:p>
        </w:tc>
        <w:tc>
          <w:tcPr>
            <w:tcW w:w="1313" w:type="dxa"/>
            <w:vAlign w:val="center"/>
          </w:tcPr>
          <w:p>
            <w:r>
              <w:rPr>
                <w:rFonts w:hint="eastAsia"/>
              </w:rPr>
              <w:t>管理者代表</w:t>
            </w:r>
          </w:p>
        </w:tc>
        <w:tc>
          <w:tcPr>
            <w:tcW w:w="2180" w:type="dxa"/>
          </w:tcPr>
          <w:p>
            <w:bookmarkStart w:id="14" w:name="管理者代表"/>
            <w:r>
              <w:t>徐善春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2385"/>
              </w:tabs>
              <w:spacing w:line="360" w:lineRule="auto"/>
              <w:rPr>
                <w:rFonts w:ascii="宋体" w:hAnsi="宋体"/>
                <w:bCs/>
              </w:rPr>
            </w:pPr>
            <w:r>
              <w:rPr>
                <w:rFonts w:hint="eastAsia" w:ascii="宋体" w:hAnsi="宋体"/>
                <w:bCs/>
              </w:rPr>
              <w:t>联系客户—业务洽谈—合同签订—采购产品—检验—产品销售—客户签收—售后服务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2023年02月16日 下午至2023年02月17日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重庆市走马镇走马建材交易市场15厅10号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E：石材销售所涉及场所的相关环境管理活动</w:t>
            </w:r>
          </w:p>
          <w:p>
            <w:r>
              <w:t>O：石材销售所涉及场所的相关职业健康安全管理活动</w:t>
            </w:r>
          </w:p>
          <w:p>
            <w:r>
              <w:t>Q：石材销售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E：29.11.03</w:t>
            </w:r>
          </w:p>
          <w:p>
            <w:r>
              <w:t>O：29.11.03</w:t>
            </w:r>
          </w:p>
          <w:p>
            <w:r>
              <w:t>Q：29.11.03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Times New Roman" w:hAnsi="Times New Roman" w:eastAsia="宋体" w:cs="Times New Roman"/>
                <w:sz w:val="21"/>
                <w:szCs w:val="21"/>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Times New Roman" w:hAnsi="Times New Roman" w:eastAsia="宋体" w:cs="Times New Roman"/>
              </w:rPr>
              <w:t>2021年 09月01日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highlight w:val="none"/>
                <w:lang w:val="en-US" w:eastAsia="zh-CN"/>
              </w:rPr>
            </w:pPr>
            <w:r>
              <w:rPr>
                <w:rFonts w:hint="eastAsia"/>
                <w:highlight w:val="none"/>
                <w:lang w:val="en-US" w:eastAsia="zh-CN"/>
              </w:rPr>
              <w:t>1）</w:t>
            </w:r>
            <w:r>
              <w:rPr>
                <w:rFonts w:hint="eastAsia" w:ascii="宋体" w:hAnsi="宋体" w:eastAsia="宋体" w:cs="宋体"/>
                <w:color w:val="000000"/>
                <w:kern w:val="0"/>
                <w:szCs w:val="21"/>
                <w:highlight w:val="none"/>
                <w:lang w:val="en-US" w:eastAsia="zh-CN"/>
              </w:rPr>
              <w:t>QMS：</w:t>
            </w:r>
            <w:r>
              <w:rPr>
                <w:rFonts w:hint="eastAsia" w:ascii="宋体" w:hAnsi="宋体" w:eastAsia="宋体" w:cs="宋体"/>
                <w:color w:val="000000"/>
                <w:kern w:val="0"/>
                <w:szCs w:val="21"/>
                <w:highlight w:val="none"/>
              </w:rPr>
              <w:t>2022年8月10日</w:t>
            </w:r>
            <w:r>
              <w:rPr>
                <w:rFonts w:hint="eastAsia" w:ascii="宋体" w:hAnsi="宋体" w:eastAsia="宋体" w:cs="宋体"/>
                <w:color w:val="000000"/>
                <w:kern w:val="0"/>
                <w:szCs w:val="21"/>
                <w:highlight w:val="none"/>
                <w:lang w:val="en-US" w:eastAsia="zh-CN"/>
              </w:rPr>
              <w:t>；</w:t>
            </w:r>
          </w:p>
          <w:p>
            <w:pPr>
              <w:rPr>
                <w:rFonts w:hint="eastAsia" w:eastAsia="宋体"/>
                <w:lang w:eastAsia="zh-CN"/>
              </w:rPr>
            </w:pPr>
            <w:r>
              <w:rPr>
                <w:rFonts w:hint="eastAsia"/>
                <w:highlight w:val="none"/>
                <w:lang w:val="en-US" w:eastAsia="zh-CN"/>
              </w:rPr>
              <w:t>2）</w:t>
            </w:r>
            <w:r>
              <w:rPr>
                <w:rFonts w:hint="eastAsia" w:ascii="宋体" w:hAnsi="宋体" w:eastAsia="宋体" w:cs="宋体"/>
                <w:color w:val="000000"/>
                <w:kern w:val="0"/>
                <w:szCs w:val="21"/>
                <w:highlight w:val="none"/>
                <w:lang w:val="en-US" w:eastAsia="zh-CN"/>
              </w:rPr>
              <w:t>EMS/OHSMS：</w:t>
            </w:r>
            <w:r>
              <w:rPr>
                <w:rFonts w:hint="eastAsia" w:ascii="宋体" w:hAnsi="宋体" w:eastAsia="宋体" w:cs="宋体"/>
                <w:color w:val="000000"/>
                <w:kern w:val="0"/>
                <w:szCs w:val="21"/>
                <w:highlight w:val="none"/>
              </w:rPr>
              <w:t>2022年03月10日</w:t>
            </w:r>
            <w:r>
              <w:rPr>
                <w:rFonts w:hint="eastAsia" w:ascii="宋体" w:hAnsi="宋体" w:eastAsia="宋体" w:cs="宋体"/>
                <w:color w:val="000000"/>
                <w:kern w:val="0"/>
                <w:szCs w:val="21"/>
                <w:highlight w:val="none"/>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val="en-US" w:eastAsia="zh-CN"/>
              </w:rPr>
            </w:pPr>
            <w:r>
              <w:rPr>
                <w:rFonts w:hint="eastAsia"/>
              </w:rPr>
              <w:t>有效至</w:t>
            </w:r>
            <w:r>
              <w:rPr>
                <w:rFonts w:hint="eastAsia"/>
                <w:lang w:eastAsia="zh-CN"/>
              </w:rPr>
              <w:t>：</w:t>
            </w:r>
            <w:r>
              <w:rPr>
                <w:rFonts w:hint="eastAsia"/>
                <w:highlight w:val="none"/>
                <w:lang w:val="en-US" w:eastAsia="zh-CN"/>
              </w:rPr>
              <w:t>1）QMS：2025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16</w:t>
            </w:r>
            <w:r>
              <w:rPr>
                <w:rFonts w:hint="eastAsia"/>
                <w:highlight w:val="none"/>
              </w:rPr>
              <w:t>日</w:t>
            </w:r>
            <w:r>
              <w:rPr>
                <w:rFonts w:hint="eastAsia"/>
                <w:highlight w:val="none"/>
                <w:lang w:val="en-US" w:eastAsia="zh-CN"/>
              </w:rPr>
              <w:t>；2）EMS/OHSMS：2025</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w:t>
            </w:r>
            <w:r>
              <w:rPr>
                <w:rFonts w:hint="eastAsia"/>
                <w:highlight w:val="none"/>
                <w:lang w:eastAsia="zh-CN"/>
              </w:rPr>
              <w:t>。</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rPr>
                <w:rFonts w:hint="eastAsia" w:ascii="宋体" w:hAnsi="宋体" w:cs="宋体"/>
                <w:color w:val="000000"/>
                <w:kern w:val="0"/>
                <w:szCs w:val="21"/>
              </w:rPr>
              <w:t>重庆融威建材有限公司/重庆市九龙坡区含谷镇环球锦标建材交易市场B区11-6号</w:t>
            </w:r>
          </w:p>
          <w:p>
            <w:pPr>
              <w:rPr>
                <w:lang w:val="de-DE" w:eastAsia="ja-JP"/>
              </w:rPr>
            </w:pPr>
          </w:p>
        </w:tc>
        <w:tc>
          <w:tcPr>
            <w:tcW w:w="2267" w:type="dxa"/>
            <w:vAlign w:val="top"/>
          </w:tcPr>
          <w:p>
            <w:r>
              <w:rPr>
                <w:rFonts w:ascii="宋体" w:hAnsi="宋体" w:cs="宋体"/>
                <w:color w:val="000000"/>
                <w:kern w:val="0"/>
                <w:szCs w:val="21"/>
              </w:rPr>
              <w:t>重庆市走马镇走马建材交易市场15厅10号</w:t>
            </w:r>
          </w:p>
          <w:p>
            <w:pPr>
              <w:rPr>
                <w:lang w:val="de-DE" w:eastAsia="ja-JP"/>
              </w:rPr>
            </w:pPr>
          </w:p>
        </w:tc>
        <w:tc>
          <w:tcPr>
            <w:tcW w:w="571" w:type="dxa"/>
            <w:vAlign w:val="center"/>
          </w:tcPr>
          <w:p>
            <w:pPr>
              <w:rPr>
                <w:lang w:eastAsia="ja-JP"/>
              </w:rPr>
            </w:pPr>
            <w:r>
              <w:rPr>
                <w:rFonts w:hint="eastAsia"/>
              </w:rPr>
              <w:t>15</w:t>
            </w:r>
          </w:p>
        </w:tc>
        <w:tc>
          <w:tcPr>
            <w:tcW w:w="2803" w:type="dxa"/>
            <w:vAlign w:val="center"/>
          </w:tcPr>
          <w:p>
            <w:r>
              <w:rPr>
                <w:rFonts w:ascii="宋体" w:hAnsi="宋体" w:cs="宋体"/>
                <w:color w:val="000000"/>
                <w:kern w:val="0"/>
                <w:szCs w:val="21"/>
              </w:rPr>
              <w:t>石材销售</w:t>
            </w:r>
          </w:p>
          <w:p>
            <w:pPr>
              <w:rPr>
                <w:lang w:eastAsia="ja-JP"/>
              </w:rPr>
            </w:pPr>
          </w:p>
        </w:tc>
        <w:tc>
          <w:tcPr>
            <w:tcW w:w="669" w:type="dxa"/>
            <w:vAlign w:val="top"/>
          </w:tcPr>
          <w:p>
            <w:pPr>
              <w:rPr>
                <w:lang w:eastAsia="ja-JP"/>
              </w:rPr>
            </w:pPr>
            <w:r>
              <w:rPr>
                <w:rFonts w:hint="eastAsia" w:ascii="宋体" w:hAnsi="宋体"/>
                <w:bCs/>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重庆融威建材有限公司</w:t>
            </w:r>
            <w:r>
              <w:rPr>
                <w:rFonts w:hint="eastAsia"/>
                <w:sz w:val="21"/>
                <w:szCs w:val="21"/>
                <w:lang w:val="en-US" w:eastAsia="zh-CN"/>
              </w:rPr>
              <w:t>/</w:t>
            </w:r>
            <w:r>
              <w:rPr>
                <w:rFonts w:asciiTheme="minorEastAsia" w:hAnsiTheme="minorEastAsia" w:eastAsiaTheme="minorEastAsia"/>
                <w:sz w:val="20"/>
              </w:rPr>
              <w:t>重庆市九龙坡区含谷镇环球锦标建材交易市场B区11-6号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重庆市走马镇走马建材交易市场15厅10号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石材销售所涉及场所的相关环境管理活动</w:t>
            </w:r>
          </w:p>
        </w:tc>
        <w:tc>
          <w:tcPr>
            <w:tcW w:w="669" w:type="dxa"/>
            <w:vAlign w:val="top"/>
          </w:tcPr>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宋体" w:cs="Times New Roman"/>
                <w:kern w:val="2"/>
                <w:sz w:val="21"/>
                <w:szCs w:val="24"/>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重庆融威建材有限公司</w:t>
            </w:r>
            <w:r>
              <w:rPr>
                <w:rFonts w:hint="eastAsia"/>
                <w:sz w:val="21"/>
                <w:szCs w:val="21"/>
                <w:lang w:val="en-US" w:eastAsia="zh-CN"/>
              </w:rPr>
              <w:t>/</w:t>
            </w:r>
            <w:r>
              <w:rPr>
                <w:rFonts w:asciiTheme="minorEastAsia" w:hAnsiTheme="minorEastAsia" w:eastAsiaTheme="minorEastAsia"/>
                <w:sz w:val="20"/>
              </w:rPr>
              <w:t>重庆市九龙坡区含谷镇环球锦标建材交易市场B区11-6号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重庆市走马镇走马建材交易市场15厅10号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石材销售所涉及场所的相关职业健康安全管理活动</w:t>
            </w:r>
          </w:p>
        </w:tc>
        <w:tc>
          <w:tcPr>
            <w:tcW w:w="66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p>
            <w:r>
              <w:t>2021-N1QMS-2230067</w:t>
            </w:r>
          </w:p>
        </w:tc>
        <w:tc>
          <w:tcPr>
            <w:tcW w:w="2179" w:type="dxa"/>
            <w:vAlign w:val="center"/>
          </w:tcPr>
          <w:p>
            <w:r>
              <w:t>E:29.11.03</w:t>
            </w:r>
          </w:p>
          <w:p>
            <w:r>
              <w:t>O:29.11.03</w:t>
            </w:r>
          </w:p>
          <w:p>
            <w:r>
              <w:t>Q:29.11.03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p>
            <w:r>
              <w:t>2020-N1QMS-1267598</w:t>
            </w:r>
          </w:p>
        </w:tc>
        <w:tc>
          <w:tcPr>
            <w:tcW w:w="2179" w:type="dxa"/>
            <w:vAlign w:val="center"/>
          </w:tcPr>
          <w:p>
            <w:r>
              <w:t>E:29.11.03</w:t>
            </w:r>
          </w:p>
          <w:p>
            <w:r>
              <w:t>O:29.11.03</w:t>
            </w:r>
          </w:p>
          <w:p>
            <w:r>
              <w:t>Q:29.11.03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w:t>
            </w:r>
            <w:r>
              <w:rPr>
                <w:rFonts w:hint="eastAsia" w:ascii="Times New Roman" w:hAnsi="Times New Roman" w:eastAsia="宋体" w:cs="Times New Roman"/>
                <w:lang w:val="en-US" w:eastAsia="zh-CN"/>
              </w:rPr>
              <w:t>符合项发生在营销部Q8.5.1条款和综合部EO8.2条款，已完成整改，且无类似情况再次发生。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石材销售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宋体" w:hAnsi="宋体" w:eastAsia="宋体" w:cs="宋体"/>
                <w:color w:val="000000"/>
                <w:kern w:val="0"/>
                <w:szCs w:val="21"/>
                <w:lang w:val="en-US" w:eastAsia="zh-CN"/>
              </w:rPr>
            </w:pPr>
            <w:r>
              <w:rPr>
                <w:rFonts w:ascii="宋体" w:hAnsi="宋体" w:eastAsia="宋体" w:cs="宋体"/>
                <w:color w:val="000000"/>
                <w:kern w:val="0"/>
                <w:szCs w:val="21"/>
              </w:rPr>
              <w:t>石材销售所涉及场所的相关环境管理活动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宋体" w:hAnsi="宋体" w:eastAsia="宋体" w:cs="宋体"/>
                <w:color w:val="000000"/>
                <w:kern w:val="0"/>
                <w:szCs w:val="21"/>
                <w:lang w:val="en-US" w:eastAsia="zh-CN"/>
              </w:rPr>
            </w:pPr>
            <w:r>
              <w:rPr>
                <w:rFonts w:ascii="宋体" w:hAnsi="宋体" w:eastAsia="宋体" w:cs="宋体"/>
                <w:color w:val="000000"/>
                <w:kern w:val="0"/>
                <w:szCs w:val="21"/>
              </w:rPr>
              <w:t>石材销售所涉及场所的相关职业健康安全管理活动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2023年2月17日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r>
        <w:rPr>
          <w:rFonts w:hint="eastAsia"/>
        </w:rPr>
        <w:t xml:space="preserve">(可另附页)  </w:t>
      </w:r>
      <w:r>
        <w:rPr>
          <w:shd w:val="clear" w:color="FFFFFF" w:fill="D9D9D9"/>
        </w:rPr>
        <w:t xml:space="preserve">附件ISO 9001:2015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b/>
                <w:bCs/>
              </w:rPr>
              <w:t xml:space="preserve"> </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color w:val="000000" w:themeColor="text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无外包</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b w:val="0"/>
                <w:bCs w:val="0"/>
              </w:rPr>
            </w:pPr>
            <w:r>
              <w:rPr>
                <w:rFonts w:hint="eastAsia"/>
              </w:rPr>
              <w:t>最高管理者制定了文件化的管理体</w:t>
            </w:r>
            <w:r>
              <w:rPr>
                <w:rFonts w:hint="eastAsia"/>
                <w:b w:val="0"/>
                <w:bCs w:val="0"/>
              </w:rPr>
              <w:t>系方针：</w:t>
            </w:r>
            <w:r>
              <w:rPr>
                <w:rFonts w:hint="eastAsia"/>
                <w:b w:val="0"/>
                <w:bCs w:val="0"/>
                <w:lang w:eastAsia="zh-CN"/>
              </w:rPr>
              <w:t>“</w:t>
            </w:r>
            <w:r>
              <w:rPr>
                <w:rFonts w:hint="eastAsia"/>
                <w:b w:val="0"/>
                <w:bCs w:val="0"/>
              </w:rPr>
              <w:t>诚信至上，质量为主，优质高效；节能降耗，防治污染，保护环境；安全第一，保障健康，减少风险；全员参与，遵守法规，持续改进</w:t>
            </w:r>
            <w:r>
              <w:rPr>
                <w:rFonts w:hint="eastAsia"/>
                <w:b w:val="0"/>
                <w:bCs w:val="0"/>
                <w:lang w:eastAsia="zh-CN"/>
              </w:rPr>
              <w:t>”</w:t>
            </w:r>
            <w:r>
              <w:rPr>
                <w:rFonts w:hint="eastAsia"/>
                <w:b w:val="0"/>
                <w:bCs w:val="0"/>
              </w:rPr>
              <w:t>。</w:t>
            </w:r>
          </w:p>
          <w:p>
            <w:pPr>
              <w:shd w:val="clear" w:color="auto" w:fill="C7DAF1" w:themeFill="text2" w:themeFillTint="32"/>
            </w:pPr>
            <w:r>
              <w:rPr>
                <w:rFonts w:hint="eastAsia"/>
                <w:b w:val="0"/>
                <w:bCs w:val="0"/>
                <w:lang w:val="en-GB"/>
              </w:rPr>
              <w:t>质量方针合理恰当并为相应的质量目标提供了框架。</w:t>
            </w:r>
            <w:r>
              <w:rPr>
                <w:rFonts w:hint="eastAsia"/>
                <w:b w:val="0"/>
                <w:bCs w:val="0"/>
              </w:rPr>
              <w:t>最高</w:t>
            </w:r>
            <w:r>
              <w:rPr>
                <w:rFonts w:hint="eastAsia"/>
                <w:b w:val="0"/>
                <w:bCs w:val="0"/>
                <w:lang w:val="en-GB"/>
              </w:rPr>
              <w:t>管理层已经宣布了组织的质量方针并进行了实施，它使所有员工负起持续改进质量管理体系的责任，</w:t>
            </w:r>
            <w:r>
              <w:rPr>
                <w:rFonts w:hint="eastAsia"/>
                <w:b w:val="0"/>
                <w:bCs w:val="0"/>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lang w:val="en-US" w:eastAsia="zh-CN"/>
              </w:rPr>
              <w:t>营销</w:t>
            </w:r>
            <w:r>
              <w:rPr>
                <w:rFonts w:hint="eastAsia" w:ascii="Times New Roman" w:hAnsi="Times New Roman" w:eastAsia="宋体" w:cs="Times New Roma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竞争风险</w:t>
                  </w:r>
                </w:p>
              </w:tc>
              <w:tc>
                <w:tcPr>
                  <w:tcW w:w="3965" w:type="dxa"/>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人力资源风险</w:t>
                  </w:r>
                </w:p>
              </w:tc>
              <w:tc>
                <w:tcPr>
                  <w:tcW w:w="3965" w:type="dxa"/>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1170"/>
              <w:gridCol w:w="2837"/>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7" w:type="dxa"/>
                </w:tcPr>
                <w:p>
                  <w:pPr>
                    <w:widowControl/>
                    <w:spacing w:before="40"/>
                    <w:jc w:val="left"/>
                    <w:rPr>
                      <w:color w:val="000000"/>
                      <w:szCs w:val="18"/>
                    </w:rPr>
                  </w:pPr>
                  <w:r>
                    <w:rPr>
                      <w:rFonts w:hint="eastAsia"/>
                      <w:color w:val="000000"/>
                      <w:szCs w:val="18"/>
                    </w:rPr>
                    <w:t>目标</w:t>
                  </w:r>
                </w:p>
              </w:tc>
              <w:tc>
                <w:tcPr>
                  <w:tcW w:w="1170" w:type="dxa"/>
                </w:tcPr>
                <w:p>
                  <w:pPr>
                    <w:widowControl/>
                    <w:spacing w:before="40"/>
                    <w:jc w:val="left"/>
                    <w:rPr>
                      <w:color w:val="000000"/>
                      <w:szCs w:val="18"/>
                    </w:rPr>
                  </w:pPr>
                  <w:r>
                    <w:rPr>
                      <w:rFonts w:hint="eastAsia"/>
                      <w:color w:val="000000"/>
                      <w:szCs w:val="18"/>
                    </w:rPr>
                    <w:t>考核频次</w:t>
                  </w:r>
                </w:p>
              </w:tc>
              <w:tc>
                <w:tcPr>
                  <w:tcW w:w="2837" w:type="dxa"/>
                </w:tcPr>
                <w:p>
                  <w:pPr>
                    <w:widowControl/>
                    <w:spacing w:before="40"/>
                    <w:jc w:val="left"/>
                    <w:rPr>
                      <w:color w:val="000000"/>
                      <w:szCs w:val="18"/>
                      <w:highlight w:val="none"/>
                    </w:rPr>
                  </w:pPr>
                  <w:r>
                    <w:rPr>
                      <w:rFonts w:hint="eastAsia"/>
                      <w:color w:val="000000"/>
                      <w:szCs w:val="18"/>
                      <w:highlight w:val="none"/>
                    </w:rPr>
                    <w:t>计算方法</w:t>
                  </w:r>
                </w:p>
              </w:tc>
              <w:tc>
                <w:tcPr>
                  <w:tcW w:w="2158" w:type="dxa"/>
                </w:tcPr>
                <w:p>
                  <w:pPr>
                    <w:widowControl/>
                    <w:spacing w:before="40"/>
                    <w:jc w:val="left"/>
                    <w:rPr>
                      <w:color w:val="000000" w:themeColor="text1"/>
                      <w:szCs w:val="18"/>
                      <w:highlight w:val="none"/>
                    </w:rPr>
                  </w:pPr>
                  <w:r>
                    <w:rPr>
                      <w:rFonts w:hint="eastAsia"/>
                      <w:color w:val="000000" w:themeColor="text1"/>
                      <w:szCs w:val="18"/>
                      <w:highlight w:val="none"/>
                    </w:rPr>
                    <w:t>完成情况（2022年</w:t>
                  </w:r>
                  <w:r>
                    <w:rPr>
                      <w:rFonts w:hint="eastAsia"/>
                      <w:color w:val="000000" w:themeColor="text1"/>
                      <w:szCs w:val="18"/>
                      <w:highlight w:val="none"/>
                      <w:lang w:val="en-US" w:eastAsia="zh-CN"/>
                    </w:rPr>
                    <w:t>7</w:t>
                  </w:r>
                  <w:r>
                    <w:rPr>
                      <w:rFonts w:hint="eastAsia"/>
                      <w:color w:val="000000" w:themeColor="text1"/>
                      <w:szCs w:val="18"/>
                      <w:highlight w:val="none"/>
                    </w:rPr>
                    <w:t>月-202</w:t>
                  </w:r>
                  <w:r>
                    <w:rPr>
                      <w:rFonts w:hint="eastAsia"/>
                      <w:color w:val="000000" w:themeColor="text1"/>
                      <w:szCs w:val="18"/>
                      <w:highlight w:val="none"/>
                      <w:lang w:val="en-US" w:eastAsia="zh-CN"/>
                    </w:rPr>
                    <w:t>3</w:t>
                  </w:r>
                  <w:r>
                    <w:rPr>
                      <w:rFonts w:hint="eastAsia"/>
                      <w:color w:val="000000" w:themeColor="text1"/>
                      <w:szCs w:val="18"/>
                      <w:highlight w:val="none"/>
                    </w:rPr>
                    <w:t>年</w:t>
                  </w:r>
                  <w:r>
                    <w:rPr>
                      <w:rFonts w:hint="eastAsia"/>
                      <w:color w:val="000000" w:themeColor="text1"/>
                      <w:szCs w:val="18"/>
                      <w:highlight w:val="none"/>
                      <w:lang w:val="en-US" w:eastAsia="zh-CN"/>
                    </w:rPr>
                    <w:t>1</w:t>
                  </w:r>
                  <w:r>
                    <w:rPr>
                      <w:rFonts w:hint="eastAsia"/>
                      <w:color w:val="000000" w:themeColor="text1"/>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widowControl/>
                    <w:spacing w:before="40"/>
                    <w:jc w:val="left"/>
                    <w:rPr>
                      <w:color w:val="000000"/>
                      <w:szCs w:val="18"/>
                    </w:rPr>
                  </w:pPr>
                  <w:r>
                    <w:rPr>
                      <w:rFonts w:hint="eastAsia"/>
                      <w:color w:val="000000"/>
                      <w:szCs w:val="18"/>
                    </w:rPr>
                    <w:t>产品按期交付率≥98%；</w:t>
                  </w:r>
                </w:p>
              </w:tc>
              <w:tc>
                <w:tcPr>
                  <w:tcW w:w="1170" w:type="dxa"/>
                </w:tcPr>
                <w:p>
                  <w:pPr>
                    <w:widowControl/>
                    <w:spacing w:before="40"/>
                    <w:jc w:val="left"/>
                    <w:rPr>
                      <w:color w:val="000000"/>
                      <w:szCs w:val="18"/>
                    </w:rPr>
                  </w:pPr>
                  <w:r>
                    <w:rPr>
                      <w:rFonts w:hint="eastAsia"/>
                      <w:color w:val="000000"/>
                      <w:szCs w:val="18"/>
                    </w:rPr>
                    <w:t>每月</w:t>
                  </w:r>
                </w:p>
              </w:tc>
              <w:tc>
                <w:tcPr>
                  <w:tcW w:w="2837" w:type="dxa"/>
                </w:tcPr>
                <w:p>
                  <w:pPr>
                    <w:widowControl/>
                    <w:spacing w:before="40"/>
                    <w:jc w:val="left"/>
                    <w:rPr>
                      <w:color w:val="000000"/>
                      <w:szCs w:val="18"/>
                      <w:highlight w:val="none"/>
                    </w:rPr>
                  </w:pPr>
                  <w:r>
                    <w:rPr>
                      <w:rFonts w:hint="eastAsia"/>
                      <w:color w:val="000000"/>
                      <w:szCs w:val="18"/>
                      <w:highlight w:val="none"/>
                    </w:rPr>
                    <w:t>按期交付产品数量/需要交付产品总数*100%</w:t>
                  </w:r>
                </w:p>
              </w:tc>
              <w:tc>
                <w:tcPr>
                  <w:tcW w:w="2158" w:type="dxa"/>
                </w:tcPr>
                <w:p>
                  <w:pPr>
                    <w:widowControl/>
                    <w:spacing w:before="40"/>
                    <w:jc w:val="left"/>
                    <w:rPr>
                      <w:color w:val="000000" w:themeColor="text1"/>
                      <w:szCs w:val="18"/>
                      <w:highlight w:val="none"/>
                    </w:rPr>
                  </w:pPr>
                  <w:r>
                    <w:rPr>
                      <w:rFonts w:hint="eastAsia"/>
                      <w:color w:val="000000" w:themeColor="text1"/>
                      <w:szCs w:val="18"/>
                      <w:highlight w:val="none"/>
                    </w:rPr>
                    <w:t>99</w:t>
                  </w:r>
                  <w:r>
                    <w:rPr>
                      <w:rFonts w:hint="eastAsia"/>
                      <w:color w:val="000000" w:themeColor="text1"/>
                      <w:szCs w:val="18"/>
                      <w:highlight w:val="none"/>
                      <w:lang w:val="en-US" w:eastAsia="zh-CN"/>
                    </w:rPr>
                    <w:t>.3</w:t>
                  </w:r>
                  <w:r>
                    <w:rPr>
                      <w:rFonts w:hint="eastAsia"/>
                      <w:color w:val="000000" w:themeColor="text1"/>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57" w:type="dxa"/>
                </w:tcPr>
                <w:p>
                  <w:pPr>
                    <w:widowControl/>
                    <w:spacing w:before="40"/>
                    <w:jc w:val="left"/>
                    <w:rPr>
                      <w:color w:val="000000"/>
                      <w:szCs w:val="18"/>
                    </w:rPr>
                  </w:pPr>
                  <w:r>
                    <w:rPr>
                      <w:rFonts w:hint="eastAsia"/>
                      <w:color w:val="000000"/>
                      <w:szCs w:val="18"/>
                    </w:rPr>
                    <w:t>客户满意度</w:t>
                  </w:r>
                  <w:r>
                    <w:rPr>
                      <w:color w:val="000000"/>
                      <w:szCs w:val="18"/>
                    </w:rPr>
                    <w:t>95</w:t>
                  </w:r>
                  <w:r>
                    <w:rPr>
                      <w:rFonts w:hint="eastAsia"/>
                      <w:color w:val="000000"/>
                      <w:szCs w:val="18"/>
                    </w:rPr>
                    <w:t>分以上</w:t>
                  </w:r>
                  <w:r>
                    <w:rPr>
                      <w:color w:val="000000"/>
                      <w:szCs w:val="18"/>
                    </w:rPr>
                    <w:t xml:space="preserve"> </w:t>
                  </w:r>
                </w:p>
              </w:tc>
              <w:tc>
                <w:tcPr>
                  <w:tcW w:w="1170" w:type="dxa"/>
                </w:tcPr>
                <w:p>
                  <w:pPr>
                    <w:widowControl/>
                    <w:spacing w:before="40"/>
                    <w:jc w:val="left"/>
                    <w:rPr>
                      <w:color w:val="000000"/>
                      <w:szCs w:val="18"/>
                    </w:rPr>
                  </w:pPr>
                  <w:r>
                    <w:rPr>
                      <w:rFonts w:hint="eastAsia"/>
                      <w:color w:val="000000"/>
                      <w:szCs w:val="18"/>
                    </w:rPr>
                    <w:t>每年</w:t>
                  </w:r>
                </w:p>
              </w:tc>
              <w:tc>
                <w:tcPr>
                  <w:tcW w:w="2837" w:type="dxa"/>
                </w:tcPr>
                <w:p>
                  <w:pPr>
                    <w:widowControl/>
                    <w:spacing w:before="40"/>
                    <w:jc w:val="left"/>
                    <w:rPr>
                      <w:color w:val="000000"/>
                      <w:szCs w:val="18"/>
                      <w:highlight w:val="none"/>
                    </w:rPr>
                  </w:pPr>
                  <w:r>
                    <w:rPr>
                      <w:rFonts w:hint="eastAsia"/>
                      <w:color w:val="000000"/>
                      <w:szCs w:val="18"/>
                      <w:highlight w:val="none"/>
                    </w:rPr>
                    <w:t>顾客满意度调查得分数/顾客调查份数</w:t>
                  </w:r>
                </w:p>
              </w:tc>
              <w:tc>
                <w:tcPr>
                  <w:tcW w:w="2158" w:type="dxa"/>
                </w:tcPr>
                <w:p>
                  <w:pPr>
                    <w:widowControl/>
                    <w:spacing w:before="40"/>
                    <w:jc w:val="left"/>
                    <w:rPr>
                      <w:color w:val="000000" w:themeColor="text1"/>
                      <w:szCs w:val="18"/>
                      <w:highlight w:val="none"/>
                    </w:rPr>
                  </w:pPr>
                  <w:r>
                    <w:rPr>
                      <w:rFonts w:hint="eastAsia"/>
                      <w:color w:val="000000" w:themeColor="text1"/>
                      <w:szCs w:val="18"/>
                      <w:highlight w:val="none"/>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widowControl/>
                    <w:spacing w:before="40"/>
                    <w:jc w:val="left"/>
                    <w:rPr>
                      <w:color w:val="000000"/>
                      <w:szCs w:val="18"/>
                    </w:rPr>
                  </w:pPr>
                  <w:r>
                    <w:rPr>
                      <w:rFonts w:hint="eastAsia"/>
                      <w:color w:val="000000"/>
                      <w:szCs w:val="18"/>
                    </w:rPr>
                    <w:t>销售产品合格率：</w:t>
                  </w:r>
                  <w:r>
                    <w:rPr>
                      <w:color w:val="000000"/>
                      <w:szCs w:val="18"/>
                    </w:rPr>
                    <w:t xml:space="preserve">100% </w:t>
                  </w:r>
                  <w:r>
                    <w:rPr>
                      <w:rFonts w:hint="eastAsia"/>
                      <w:color w:val="000000"/>
                      <w:szCs w:val="18"/>
                    </w:rPr>
                    <w:t>；</w:t>
                  </w:r>
                </w:p>
              </w:tc>
              <w:tc>
                <w:tcPr>
                  <w:tcW w:w="1170" w:type="dxa"/>
                </w:tcPr>
                <w:p>
                  <w:pPr>
                    <w:widowControl/>
                    <w:spacing w:before="40"/>
                    <w:jc w:val="left"/>
                    <w:rPr>
                      <w:color w:val="000000"/>
                      <w:szCs w:val="18"/>
                    </w:rPr>
                  </w:pPr>
                  <w:r>
                    <w:rPr>
                      <w:rFonts w:hint="eastAsia"/>
                      <w:color w:val="000000"/>
                      <w:szCs w:val="18"/>
                    </w:rPr>
                    <w:t>每月</w:t>
                  </w:r>
                </w:p>
              </w:tc>
              <w:tc>
                <w:tcPr>
                  <w:tcW w:w="2837" w:type="dxa"/>
                </w:tcPr>
                <w:p>
                  <w:pPr>
                    <w:widowControl/>
                    <w:spacing w:before="40"/>
                    <w:jc w:val="left"/>
                    <w:rPr>
                      <w:color w:val="000000"/>
                      <w:szCs w:val="18"/>
                      <w:highlight w:val="none"/>
                    </w:rPr>
                  </w:pPr>
                  <w:r>
                    <w:rPr>
                      <w:rFonts w:hint="eastAsia" w:ascii="宋体" w:hAnsi="宋体" w:cs="宋体"/>
                      <w:color w:val="000000"/>
                      <w:kern w:val="0"/>
                      <w:highlight w:val="none"/>
                    </w:rPr>
                    <w:t>合格量÷检验总数量×100%</w:t>
                  </w:r>
                </w:p>
              </w:tc>
              <w:tc>
                <w:tcPr>
                  <w:tcW w:w="2158" w:type="dxa"/>
                </w:tcPr>
                <w:p>
                  <w:pPr>
                    <w:widowControl/>
                    <w:spacing w:before="40"/>
                    <w:jc w:val="left"/>
                    <w:rPr>
                      <w:color w:val="000000" w:themeColor="text1"/>
                      <w:szCs w:val="18"/>
                      <w:highlight w:val="none"/>
                    </w:rPr>
                  </w:pPr>
                  <w:r>
                    <w:rPr>
                      <w:rFonts w:hint="eastAsia"/>
                      <w:color w:val="000000" w:themeColor="text1"/>
                      <w:szCs w:val="18"/>
                      <w:highlight w:val="none"/>
                    </w:rPr>
                    <w:t>100%</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000000" w:themeColor="text1"/>
              </w:rPr>
            </w:pPr>
            <w:r>
              <w:rPr>
                <w:rFonts w:hint="eastAsia"/>
                <w:color w:val="000000" w:themeColor="text1"/>
              </w:rPr>
              <w:t>经营办公面积约 50平方米；</w:t>
            </w:r>
            <w:r>
              <w:rPr>
                <w:rFonts w:hint="eastAsia" w:ascii="Times New Roman" w:hAnsi="Times New Roman" w:eastAsia="宋体" w:cs="Times New Roman"/>
                <w:highlight w:val="none"/>
                <w:u w:val="none"/>
              </w:rPr>
              <w:t xml:space="preserve">库房 </w:t>
            </w:r>
            <w:r>
              <w:rPr>
                <w:rFonts w:hint="eastAsia" w:cs="Times New Roman"/>
                <w:highlight w:val="none"/>
                <w:u w:val="none"/>
                <w:lang w:val="en-US" w:eastAsia="zh-CN"/>
              </w:rPr>
              <w:t>500平方米</w:t>
            </w:r>
            <w:r>
              <w:rPr>
                <w:rFonts w:hint="eastAsia"/>
                <w:color w:val="000000" w:themeColor="text1"/>
                <w:u w:val="none"/>
              </w:rPr>
              <w:t>；</w:t>
            </w:r>
            <w:r>
              <w:rPr>
                <w:color w:val="000000" w:themeColor="text1"/>
                <w:u w:val="none"/>
              </w:rPr>
              <w:t xml:space="preserve"> </w:t>
            </w:r>
          </w:p>
          <w:p>
            <w:pPr>
              <w:shd w:val="clear" w:color="auto" w:fill="C7DAF1" w:themeFill="text2" w:themeFillTint="32"/>
              <w:rPr>
                <w:color w:val="000000" w:themeColor="text1"/>
              </w:rPr>
            </w:pPr>
            <w:r>
              <w:rPr>
                <w:rFonts w:hint="eastAsia"/>
                <w:color w:val="000000" w:themeColor="text1"/>
              </w:rPr>
              <w:t>主要生产设备有：打印机、电脑、电话和办公设备等。</w:t>
            </w:r>
          </w:p>
          <w:p>
            <w:pPr>
              <w:shd w:val="clear" w:color="auto" w:fill="C7DAF1" w:themeFill="text2" w:themeFillTint="32"/>
              <w:rPr>
                <w:color w:val="000000" w:themeColor="text1"/>
              </w:rPr>
            </w:pPr>
            <w:r>
              <w:rPr>
                <w:rFonts w:hint="eastAsia"/>
                <w:color w:val="000000" w:themeColor="text1"/>
              </w:rPr>
              <w:t xml:space="preserve">特种设备：□叉车 □行车 □锅炉 □电梯  </w:t>
            </w:r>
            <w:r>
              <w:rPr>
                <w:rFonts w:hint="eastAsia" w:ascii="Wingdings" w:hAnsi="Wingdings"/>
                <w:color w:val="000000" w:themeColor="text1"/>
              </w:rPr>
              <w:t>□</w:t>
            </w:r>
            <w:r>
              <w:rPr>
                <w:rFonts w:hint="eastAsia"/>
                <w:color w:val="000000" w:themeColor="text1"/>
              </w:rPr>
              <w:t xml:space="preserve">压力容器  </w:t>
            </w:r>
            <w:r>
              <w:rPr>
                <w:rFonts w:hint="eastAsia" w:ascii="Wingdings" w:hAnsi="Wingdings"/>
                <w:color w:val="000000" w:themeColor="text1"/>
              </w:rPr>
              <w:t>□</w:t>
            </w:r>
            <w:r>
              <w:rPr>
                <w:rFonts w:hint="eastAsia"/>
                <w:color w:val="000000" w:themeColor="text1"/>
              </w:rPr>
              <w:t xml:space="preserve">压力管道  </w:t>
            </w:r>
            <w:r>
              <w:rPr>
                <w:rFonts w:hint="eastAsia" w:ascii="Wingdings" w:hAnsi="Wingdings"/>
                <w:color w:val="000000" w:themeColor="text1"/>
              </w:rPr>
              <w:t>■</w:t>
            </w:r>
            <w:r>
              <w:rPr>
                <w:rFonts w:hint="eastAsia"/>
                <w:color w:val="000000" w:themeColor="text1"/>
              </w:rPr>
              <w:t xml:space="preserve">不适用  </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rPr>
              <w:t>□</w:t>
            </w:r>
            <w:r>
              <w:rPr>
                <w:rFonts w:hint="eastAsia"/>
                <w:color w:val="000000" w:themeColor="text1"/>
              </w:rPr>
              <w:t xml:space="preserve">进行了定期检验  </w:t>
            </w:r>
            <w:r>
              <w:rPr>
                <w:rFonts w:hint="eastAsia" w:ascii="Wingdings" w:hAnsi="Wingdings"/>
                <w:color w:val="000000" w:themeColor="text1"/>
              </w:rPr>
              <w:t>□</w:t>
            </w:r>
            <w:r>
              <w:rPr>
                <w:rFonts w:hint="eastAsia"/>
                <w:color w:val="000000" w:themeColor="text1"/>
              </w:rPr>
              <w:t xml:space="preserve">未进行定期检验的有： </w:t>
            </w:r>
            <w:r>
              <w:rPr>
                <w:rFonts w:hint="eastAsia"/>
                <w:color w:val="000000" w:themeColor="text1"/>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4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r>
              <w:rPr>
                <w:rFonts w:hint="eastAsia" w:ascii="宋体" w:hAnsi="宋体" w:cs="宋体"/>
                <w:szCs w:val="21"/>
              </w:rPr>
              <w:t>组织销售的产品在产品采购、交付过程中性状未有改变。组织只对产品名称、规格型号、外观、质量证明文件、资料完整性等进行验证；质量技术特性由供方提供、控制。产品的最终验收以客户验收确认为准。对销售服务过程的监视测量，根据《销售人员行为规范考核》进行定期的考核管理，公司无监视和测量硬件设备。</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宋体"/>
                <w:color w:val="000000"/>
                <w:szCs w:val="21"/>
                <w:u w:val="single"/>
              </w:rPr>
              <w:t xml:space="preserve">          </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■标语  ■展板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ascii="Wingdings" w:hAnsi="Wingdings"/>
                <w:highlight w:val="none"/>
              </w:rPr>
              <w:t>□</w:t>
            </w:r>
            <w:r>
              <w:rPr>
                <w:rFonts w:hint="eastAsia"/>
                <w:highlight w:val="none"/>
              </w:rPr>
              <w:t xml:space="preserve">原材料采购 </w:t>
            </w:r>
            <w:r>
              <w:rPr>
                <w:rFonts w:hint="eastAsia" w:ascii="Wingdings" w:hAnsi="Wingdings"/>
                <w:highlight w:val="none"/>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rPr>
              <w:t>■</w:t>
            </w:r>
            <w:r>
              <w:rPr>
                <w:rFonts w:hint="eastAsia"/>
                <w:highlight w:val="none"/>
              </w:rPr>
              <w:t xml:space="preserve">运输  </w:t>
            </w:r>
            <w:r>
              <w:rPr>
                <w:rFonts w:hint="eastAsia" w:ascii="Wingdings" w:hAnsi="Wingdings"/>
                <w:highlight w:val="none"/>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ascii="宋体" w:hAnsi="宋体" w:cs="宋体"/>
                      <w:color w:val="000000"/>
                      <w:kern w:val="0"/>
                      <w:szCs w:val="21"/>
                    </w:rPr>
                    <w:t>石材销售</w:t>
                  </w:r>
                </w:p>
              </w:tc>
              <w:tc>
                <w:tcPr>
                  <w:tcW w:w="2303" w:type="dxa"/>
                </w:tcPr>
                <w:p>
                  <w:pPr>
                    <w:shd w:val="clear" w:color="auto" w:fill="C7DAF1" w:themeFill="text2" w:themeFillTint="32"/>
                    <w:jc w:val="left"/>
                  </w:pPr>
                  <w:r>
                    <w:rPr>
                      <w:rFonts w:hint="eastAsia"/>
                    </w:rPr>
                    <w:t>销售服务过程</w:t>
                  </w:r>
                </w:p>
              </w:tc>
              <w:tc>
                <w:tcPr>
                  <w:tcW w:w="3265" w:type="dxa"/>
                </w:tcPr>
                <w:p>
                  <w:pPr>
                    <w:shd w:val="clear" w:color="auto" w:fill="C7DAF1" w:themeFill="text2" w:themeFillTint="32"/>
                    <w:jc w:val="left"/>
                    <w:rPr>
                      <w:rFonts w:eastAsiaTheme="minorEastAsia"/>
                    </w:rPr>
                  </w:pPr>
                  <w:r>
                    <w:rPr>
                      <w:rFonts w:hint="eastAsia"/>
                      <w:szCs w:val="21"/>
                    </w:rPr>
                    <w:t>产品、服务质量合格、交付及时性、投诉处理满意度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销售服务过程</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已发生的更改包括：无</w:t>
            </w:r>
          </w:p>
          <w:p>
            <w:pPr>
              <w:shd w:val="clear" w:color="auto" w:fill="C7DAF1" w:themeFill="text2" w:themeFillTint="32"/>
            </w:pP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color w:val="000000" w:themeColor="text1"/>
              </w:rPr>
              <w:t>划</w:t>
            </w:r>
            <w:r>
              <w:rPr>
                <w:rFonts w:hint="eastAsia" w:ascii="Times New Roman" w:hAnsi="Times New Roman" w:cs="Times New Roman"/>
                <w:color w:val="000000" w:themeColor="text1"/>
              </w:rPr>
              <w:t>于202</w:t>
            </w:r>
            <w:r>
              <w:rPr>
                <w:rFonts w:hint="eastAsia" w:ascii="Times New Roman" w:hAnsi="Times New Roman" w:cs="Times New Roman"/>
                <w:color w:val="000000" w:themeColor="text1"/>
                <w:lang w:val="en-US" w:eastAsia="zh-CN"/>
              </w:rPr>
              <w:t>2</w:t>
            </w:r>
            <w:r>
              <w:rPr>
                <w:rFonts w:hint="eastAsia" w:ascii="Times New Roman" w:hAnsi="Times New Roman" w:cs="Times New Roman"/>
                <w:color w:val="000000" w:themeColor="text1"/>
              </w:rPr>
              <w:t>年12月1</w:t>
            </w:r>
            <w:r>
              <w:rPr>
                <w:rFonts w:hint="eastAsia" w:ascii="Times New Roman" w:hAnsi="Times New Roman" w:cs="Times New Roman"/>
                <w:color w:val="000000" w:themeColor="text1"/>
                <w:lang w:val="en-US" w:eastAsia="zh-CN"/>
              </w:rPr>
              <w:t>0日</w:t>
            </w:r>
            <w:r>
              <w:rPr>
                <w:rFonts w:hint="eastAsia" w:ascii="Times New Roman" w:hAnsi="Times New Roman" w:cs="Times New Roman"/>
                <w:color w:val="000000" w:themeColor="text1"/>
              </w:rPr>
              <w:t>-1</w:t>
            </w:r>
            <w:r>
              <w:rPr>
                <w:rFonts w:hint="eastAsia" w:ascii="Times New Roman" w:hAnsi="Times New Roman" w:cs="Times New Roman"/>
                <w:color w:val="000000" w:themeColor="text1"/>
                <w:lang w:val="en-US" w:eastAsia="zh-CN"/>
              </w:rPr>
              <w:t>1</w:t>
            </w:r>
            <w:r>
              <w:rPr>
                <w:rFonts w:hint="eastAsia" w:ascii="Times New Roman" w:hAnsi="Times New Roman" w:cs="Times New Roman"/>
                <w:color w:val="000000" w:themeColor="text1"/>
              </w:rPr>
              <w:t>日实施了质量管理体系内部审核，对质量管理体系的符合性和有效性进行了审核。内审发现的 1 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w:t>
            </w:r>
            <w:r>
              <w:rPr>
                <w:rFonts w:hint="eastAsia"/>
                <w:highlight w:val="none"/>
              </w:rPr>
              <w:t>划的时间间隔</w:t>
            </w:r>
            <w:r>
              <w:rPr>
                <w:rFonts w:hint="eastAsia"/>
                <w:color w:val="000000" w:themeColor="text1"/>
                <w:highlight w:val="none"/>
              </w:rPr>
              <w:t>，在</w:t>
            </w:r>
            <w:r>
              <w:rPr>
                <w:color w:val="000000" w:themeColor="text1"/>
                <w:highlight w:val="none"/>
              </w:rPr>
              <w:t>202</w:t>
            </w:r>
            <w:r>
              <w:rPr>
                <w:rFonts w:hint="eastAsia"/>
                <w:color w:val="000000" w:themeColor="text1"/>
                <w:highlight w:val="none"/>
                <w:lang w:val="en-US" w:eastAsia="zh-CN"/>
              </w:rPr>
              <w:t>2</w:t>
            </w:r>
            <w:r>
              <w:rPr>
                <w:color w:val="000000" w:themeColor="text1"/>
                <w:highlight w:val="none"/>
              </w:rPr>
              <w:t>年</w:t>
            </w:r>
            <w:r>
              <w:rPr>
                <w:rFonts w:hint="eastAsia"/>
                <w:color w:val="000000" w:themeColor="text1"/>
                <w:highlight w:val="none"/>
              </w:rPr>
              <w:t>12</w:t>
            </w:r>
            <w:r>
              <w:rPr>
                <w:color w:val="000000" w:themeColor="text1"/>
                <w:highlight w:val="none"/>
              </w:rPr>
              <w:t>月</w:t>
            </w:r>
            <w:r>
              <w:rPr>
                <w:rFonts w:hint="eastAsia"/>
                <w:color w:val="000000" w:themeColor="text1"/>
                <w:highlight w:val="none"/>
              </w:rPr>
              <w:t>2</w:t>
            </w:r>
            <w:r>
              <w:rPr>
                <w:rFonts w:hint="eastAsia"/>
                <w:color w:val="000000" w:themeColor="text1"/>
                <w:highlight w:val="none"/>
                <w:lang w:val="en-US" w:eastAsia="zh-CN"/>
              </w:rPr>
              <w:t>0</w:t>
            </w:r>
            <w:r>
              <w:rPr>
                <w:color w:val="000000" w:themeColor="text1"/>
                <w:highlight w:val="none"/>
              </w:rPr>
              <w:t>日</w:t>
            </w:r>
            <w:r>
              <w:rPr>
                <w:rFonts w:hint="eastAsia"/>
                <w:color w:val="000000" w:themeColor="text1"/>
                <w:highlight w:val="none"/>
              </w:rPr>
              <w:t>对</w:t>
            </w:r>
            <w:r>
              <w:rPr>
                <w:rFonts w:hint="eastAsia"/>
                <w:highlight w:val="none"/>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4.3</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4.4</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5.2</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5.3</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6.2</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6.3</w:t>
            </w:r>
          </w:p>
        </w:tc>
        <w:tc>
          <w:tcPr>
            <w:tcW w:w="650" w:type="dxa"/>
            <w:shd w:val="clear" w:color="auto" w:fill="BFBFBF"/>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shd w:val="clear" w:color="auto" w:fill="BFBFBF"/>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vAlign w:val="center"/>
          </w:tcPr>
          <w:p>
            <w:pPr>
              <w:shd w:val="clear" w:color="auto" w:fill="C7DAF1" w:themeFill="text2" w:themeFillTint="32"/>
              <w:rPr>
                <w:color w:val="000000" w:themeColor="text1"/>
                <w:highlight w:val="none"/>
                <w:lang w:eastAsia="ja-JP"/>
              </w:rPr>
            </w:pPr>
          </w:p>
        </w:tc>
        <w:tc>
          <w:tcPr>
            <w:tcW w:w="650" w:type="dxa"/>
            <w:shd w:val="clear" w:color="auto" w:fill="BFBFBF"/>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7.3</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7.4</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7.5</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8.1</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8.3</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8.4</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8.5</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8.6</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rFonts w:hint="eastAsia" w:eastAsia="宋体"/>
                <w:color w:val="000000" w:themeColor="text1"/>
                <w:highlight w:val="none"/>
                <w:lang w:eastAsia="zh-CN"/>
              </w:rPr>
            </w:pPr>
            <w:r>
              <w:rPr>
                <w:rFonts w:hint="eastAsia"/>
                <w:color w:val="000000" w:themeColor="text1"/>
                <w:highlight w:val="none"/>
                <w:lang w:val="en-US" w:eastAsia="zh-CN"/>
              </w:rPr>
              <w:t>2</w:t>
            </w:r>
          </w:p>
        </w:tc>
        <w:tc>
          <w:tcPr>
            <w:tcW w:w="650" w:type="dxa"/>
            <w:vAlign w:val="center"/>
          </w:tcPr>
          <w:p>
            <w:pPr>
              <w:shd w:val="clear" w:color="auto" w:fill="C7DAF1" w:themeFill="text2" w:themeFillTint="32"/>
              <w:rPr>
                <w:rFonts w:hint="eastAsia" w:eastAsia="宋体"/>
                <w:color w:val="000000" w:themeColor="text1"/>
                <w:highlight w:val="none"/>
                <w:lang w:eastAsia="zh-CN"/>
              </w:rPr>
            </w:pPr>
            <w:r>
              <w:rPr>
                <w:rFonts w:hint="eastAsia"/>
                <w:color w:val="000000" w:themeColor="text1"/>
                <w:highlight w:val="none"/>
                <w:lang w:val="en-US" w:eastAsia="zh-CN"/>
              </w:rPr>
              <w:t>2</w:t>
            </w:r>
          </w:p>
        </w:tc>
        <w:tc>
          <w:tcPr>
            <w:tcW w:w="649" w:type="dxa"/>
            <w:vAlign w:val="center"/>
          </w:tcPr>
          <w:p>
            <w:pPr>
              <w:shd w:val="clear" w:color="auto" w:fill="C7DAF1" w:themeFill="text2" w:themeFillTint="32"/>
              <w:rPr>
                <w:rFonts w:hint="eastAsia" w:eastAsia="宋体"/>
                <w:color w:val="000000" w:themeColor="text1"/>
                <w:highlight w:val="none"/>
                <w:lang w:eastAsia="zh-CN"/>
              </w:rPr>
            </w:pPr>
            <w:r>
              <w:rPr>
                <w:rFonts w:hint="eastAsia"/>
                <w:color w:val="000000" w:themeColor="text1"/>
                <w:highlight w:val="none"/>
                <w:lang w:val="en-US" w:eastAsia="zh-CN"/>
              </w:rPr>
              <w:t>2</w:t>
            </w:r>
          </w:p>
        </w:tc>
        <w:tc>
          <w:tcPr>
            <w:tcW w:w="650" w:type="dxa"/>
            <w:vAlign w:val="center"/>
          </w:tcPr>
          <w:p>
            <w:pPr>
              <w:shd w:val="clear" w:color="auto" w:fill="C7DAF1" w:themeFill="text2" w:themeFillTint="32"/>
              <w:rPr>
                <w:rFonts w:hint="eastAsia" w:eastAsia="宋体"/>
                <w:color w:val="000000" w:themeColor="text1"/>
                <w:highlight w:val="none"/>
                <w:lang w:eastAsia="zh-CN"/>
              </w:rPr>
            </w:pPr>
            <w:r>
              <w:rPr>
                <w:rFonts w:hint="eastAsia"/>
                <w:color w:val="000000" w:themeColor="text1"/>
                <w:highlight w:val="none"/>
                <w:lang w:val="en-US" w:eastAsia="zh-CN"/>
              </w:rPr>
              <w:t>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4</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vAlign w:val="center"/>
          </w:tcPr>
          <w:p>
            <w:pPr>
              <w:shd w:val="clear" w:color="auto" w:fill="C7DAF1" w:themeFill="text2" w:themeFillTint="32"/>
              <w:rPr>
                <w:rFonts w:hint="eastAsia" w:eastAsia="宋体"/>
                <w:color w:val="000000" w:themeColor="text1"/>
                <w:highlight w:val="none"/>
                <w:lang w:eastAsia="zh-CN"/>
              </w:rPr>
            </w:pPr>
            <w:r>
              <w:rPr>
                <w:rFonts w:hint="eastAsia"/>
                <w:color w:val="000000" w:themeColor="text1"/>
                <w:highlight w:val="none"/>
                <w:lang w:val="en-US" w:eastAsia="zh-CN"/>
              </w:rPr>
              <w:t>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color w:val="000000" w:themeColor="text1"/>
                <w:highlight w:val="none"/>
              </w:rPr>
            </w:pPr>
          </w:p>
        </w:tc>
        <w:tc>
          <w:tcPr>
            <w:tcW w:w="650" w:type="dxa"/>
            <w:tcBorders>
              <w:bottom w:val="single" w:color="auto" w:sz="4" w:space="0"/>
            </w:tcBorders>
            <w:vAlign w:val="center"/>
          </w:tcPr>
          <w:p>
            <w:pPr>
              <w:shd w:val="clear" w:color="auto" w:fill="C7DAF1" w:themeFill="text2" w:themeFillTint="32"/>
              <w:rPr>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9.3</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10.2</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10.3</w:t>
            </w:r>
          </w:p>
        </w:tc>
        <w:tc>
          <w:tcPr>
            <w:tcW w:w="649"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49"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50" w:type="dxa"/>
            <w:vAlign w:val="center"/>
          </w:tcPr>
          <w:p>
            <w:pPr>
              <w:shd w:val="clear" w:color="auto" w:fill="C7DAF1" w:themeFill="text2" w:themeFillTint="32"/>
              <w:rPr>
                <w:color w:val="000000" w:themeColor="text1"/>
                <w:highlight w:val="none"/>
                <w:lang w:eastAsia="ja-JP"/>
              </w:rPr>
            </w:pPr>
            <w:r>
              <w:rPr>
                <w:rFonts w:hint="eastAsia"/>
                <w:color w:val="000000" w:themeColor="text1"/>
                <w:highlight w:val="none"/>
              </w:rPr>
              <w:t>1</w:t>
            </w:r>
          </w:p>
        </w:tc>
        <w:tc>
          <w:tcPr>
            <w:tcW w:w="649"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49"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50" w:type="dxa"/>
            <w:vAlign w:val="center"/>
          </w:tcPr>
          <w:p>
            <w:pPr>
              <w:shd w:val="clear" w:color="auto" w:fill="C7DAF1" w:themeFill="text2" w:themeFillTint="32"/>
              <w:rPr>
                <w:color w:val="000000" w:themeColor="text1"/>
                <w:highlight w:val="none"/>
                <w:lang w:eastAsia="ja-JP"/>
              </w:rPr>
            </w:pPr>
          </w:p>
        </w:tc>
        <w:tc>
          <w:tcPr>
            <w:tcW w:w="649"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49"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c>
          <w:tcPr>
            <w:tcW w:w="650" w:type="dxa"/>
            <w:shd w:val="pct25" w:color="auto" w:fill="auto"/>
            <w:vAlign w:val="center"/>
          </w:tcPr>
          <w:p>
            <w:pPr>
              <w:shd w:val="clear" w:color="auto" w:fill="C7DAF1" w:themeFill="text2" w:themeFillTint="32"/>
              <w:rPr>
                <w:color w:val="000000" w:themeColor="text1"/>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pStyle w:val="2"/>
        <w:rPr>
          <w:rFonts w:eastAsia="微软雅黑"/>
          <w:sz w:val="20"/>
          <w:szCs w:val="20"/>
        </w:rPr>
      </w:pPr>
    </w:p>
    <w:p>
      <w:pPr>
        <w:pStyle w:val="2"/>
        <w:rPr>
          <w:rFonts w:eastAsia="微软雅黑"/>
          <w:sz w:val="20"/>
          <w:szCs w:val="20"/>
        </w:rPr>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ascii="宋体" w:hAnsi="宋体" w:eastAsia="宋体" w:cs="宋体"/>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eastAsia="宋体"/>
                      <w:lang w:eastAsia="zh-CN"/>
                    </w:rPr>
                  </w:pPr>
                  <w:r>
                    <w:rPr>
                      <w:rFonts w:hint="eastAsia"/>
                      <w:lang w:eastAsia="zh-CN"/>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rPr>
              <w:t>已将环境管理体系要求融入到其各项业务过程中，包括</w:t>
            </w:r>
            <w:r>
              <w:rPr>
                <w:rFonts w:hint="eastAsia"/>
                <w:highlight w:val="none"/>
              </w:rPr>
              <w:t>：</w:t>
            </w:r>
          </w:p>
          <w:p>
            <w:pPr>
              <w:shd w:val="clear" w:color="auto" w:fill="EBF1DE" w:themeFill="accent3" w:themeFillTint="32"/>
              <w:spacing w:before="40" w:after="40"/>
              <w:rPr>
                <w:highlight w:val="none"/>
              </w:rPr>
            </w:pP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□生产 □检验 </w:t>
            </w:r>
            <w:r>
              <w:rPr>
                <w:rFonts w:hint="eastAsia" w:ascii="宋体" w:hAnsi="宋体" w:cs="宋体"/>
                <w:highlight w:val="none"/>
                <w:lang w:eastAsia="zh-CN"/>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“诚信至上，质量为主，优质高效；节能降耗，防治污染，保护环境；安全第一，保障健康，减少风险；全员参与，遵守法规，持续改进。”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固体废弃物</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cyan"/>
                <w:lang w:val="en-US" w:eastAsia="zh-CN" w:bidi="ar-SA"/>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cs="宋体"/>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r>
                    <w:rPr>
                      <w:rFonts w:hint="eastAsia"/>
                      <w:color w:val="000000" w:themeColor="text1"/>
                      <w:szCs w:val="18"/>
                      <w:highlight w:val="none"/>
                    </w:rPr>
                    <w:t>（2022年</w:t>
                  </w:r>
                  <w:r>
                    <w:rPr>
                      <w:rFonts w:hint="eastAsia"/>
                      <w:color w:val="000000" w:themeColor="text1"/>
                      <w:szCs w:val="18"/>
                      <w:highlight w:val="none"/>
                      <w:lang w:val="en-US" w:eastAsia="zh-CN"/>
                    </w:rPr>
                    <w:t>7</w:t>
                  </w:r>
                  <w:r>
                    <w:rPr>
                      <w:rFonts w:hint="eastAsia"/>
                      <w:color w:val="000000" w:themeColor="text1"/>
                      <w:szCs w:val="18"/>
                      <w:highlight w:val="none"/>
                    </w:rPr>
                    <w:t>月-202</w:t>
                  </w:r>
                  <w:r>
                    <w:rPr>
                      <w:rFonts w:hint="eastAsia"/>
                      <w:color w:val="000000" w:themeColor="text1"/>
                      <w:szCs w:val="18"/>
                      <w:highlight w:val="none"/>
                      <w:lang w:val="en-US" w:eastAsia="zh-CN"/>
                    </w:rPr>
                    <w:t>3</w:t>
                  </w:r>
                  <w:r>
                    <w:rPr>
                      <w:rFonts w:hint="eastAsia"/>
                      <w:color w:val="000000" w:themeColor="text1"/>
                      <w:szCs w:val="18"/>
                      <w:highlight w:val="none"/>
                    </w:rPr>
                    <w:t>年</w:t>
                  </w:r>
                  <w:r>
                    <w:rPr>
                      <w:rFonts w:hint="eastAsia"/>
                      <w:color w:val="000000" w:themeColor="text1"/>
                      <w:szCs w:val="18"/>
                      <w:highlight w:val="none"/>
                      <w:lang w:val="en-US" w:eastAsia="zh-CN"/>
                    </w:rPr>
                    <w:t>1</w:t>
                  </w:r>
                  <w:r>
                    <w:rPr>
                      <w:rFonts w:hint="eastAsia"/>
                      <w:color w:val="000000" w:themeColor="text1"/>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火灾事故为0</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固体废弃物处置率</w:t>
                  </w:r>
                  <w:r>
                    <w:rPr>
                      <w:rFonts w:ascii="宋体" w:hAnsi="宋体"/>
                      <w:szCs w:val="21"/>
                    </w:rPr>
                    <w:t>100%</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cs="宋体"/>
                      <w:color w:val="auto"/>
                      <w:sz w:val="21"/>
                      <w:szCs w:val="21"/>
                      <w:highlight w:val="none"/>
                    </w:rPr>
                    <w:t>固体废弃物处置率</w:t>
                  </w:r>
                  <w:r>
                    <w:rPr>
                      <w:rFonts w:hint="eastAsia" w:ascii="宋体" w:hAnsi="宋体" w:cs="宋体"/>
                      <w:color w:val="auto"/>
                      <w:sz w:val="21"/>
                      <w:szCs w:val="21"/>
                      <w:highlight w:val="none"/>
                      <w:lang w:val="en-US" w:eastAsia="zh-CN"/>
                    </w:rPr>
                    <w:t>达到</w:t>
                  </w:r>
                  <w:r>
                    <w:rPr>
                      <w:rFonts w:hint="eastAsia" w:ascii="宋体" w:hAnsi="宋体" w:cs="宋体"/>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5</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u w:val="single"/>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其他</w:t>
                  </w:r>
                </w:p>
              </w:tc>
              <w:tc>
                <w:tcPr>
                  <w:tcW w:w="3594"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ascii="Times New Roman" w:hAnsi="Times New Roman" w:cs="Times New Roman"/>
              </w:rPr>
              <w:t>于</w:t>
            </w:r>
            <w:r>
              <w:rPr>
                <w:rFonts w:hint="eastAsia" w:ascii="Times New Roman" w:hAnsi="Times New Roman" w:cs="Times New Roman"/>
                <w:lang w:eastAsia="zh-CN"/>
              </w:rPr>
              <w:t>202</w:t>
            </w:r>
            <w:r>
              <w:rPr>
                <w:rFonts w:hint="eastAsia" w:ascii="Times New Roman" w:hAnsi="Times New Roman" w:cs="Times New Roman"/>
                <w:lang w:val="en-US" w:eastAsia="zh-CN"/>
              </w:rPr>
              <w:t>2</w:t>
            </w:r>
            <w:r>
              <w:rPr>
                <w:rFonts w:hint="eastAsia" w:ascii="Times New Roman" w:hAnsi="Times New Roman" w:cs="Times New Roman"/>
                <w:lang w:eastAsia="zh-CN"/>
              </w:rPr>
              <w:t>年</w:t>
            </w:r>
            <w:r>
              <w:rPr>
                <w:rFonts w:hint="eastAsia" w:ascii="Times New Roman" w:hAnsi="Times New Roman" w:cs="Times New Roman"/>
                <w:lang w:val="en-US" w:eastAsia="zh-CN"/>
              </w:rPr>
              <w:t>9</w:t>
            </w:r>
            <w:r>
              <w:rPr>
                <w:rFonts w:hint="eastAsia" w:ascii="Times New Roman" w:hAnsi="Times New Roman" w:cs="Times New Roman"/>
                <w:lang w:eastAsia="zh-CN"/>
              </w:rPr>
              <w:t>月</w:t>
            </w:r>
            <w:r>
              <w:rPr>
                <w:rFonts w:hint="eastAsia" w:ascii="Times New Roman" w:hAnsi="Times New Roman" w:cs="Times New Roman"/>
                <w:lang w:val="en-US" w:eastAsia="zh-CN"/>
              </w:rPr>
              <w:t>20</w:t>
            </w:r>
            <w:r>
              <w:rPr>
                <w:rFonts w:hint="eastAsia" w:ascii="Times New Roman" w:hAnsi="Times New Roman" w:cs="Times New Roman"/>
                <w:lang w:eastAsia="zh-CN"/>
              </w:rPr>
              <w:t>日</w:t>
            </w:r>
            <w:r>
              <w:rPr>
                <w:rFonts w:hint="eastAsia" w:ascii="Times New Roman" w:hAnsi="Times New Roman" w:cs="Times New Roman"/>
              </w:rPr>
              <w:t>进行了火灾消防的演练；并总结了预</w:t>
            </w:r>
            <w:r>
              <w:rPr>
                <w:rFonts w:hint="eastAsia"/>
              </w:rPr>
              <w:t xml:space="preserve">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年12月</w:t>
            </w:r>
            <w:r>
              <w:rPr>
                <w:rFonts w:hint="eastAsia"/>
                <w:highlight w:val="none"/>
                <w:u w:val="single"/>
                <w:lang w:val="en-US" w:eastAsia="zh-CN"/>
              </w:rPr>
              <w:t>5</w:t>
            </w:r>
            <w:r>
              <w:rPr>
                <w:rFonts w:hint="eastAsia"/>
                <w:highlight w:val="none"/>
                <w:u w:val="singl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rPr>
              <w:t>年12月1</w:t>
            </w:r>
            <w:r>
              <w:rPr>
                <w:rFonts w:hint="eastAsia" w:ascii="宋体" w:hAnsi="宋体" w:eastAsia="宋体" w:cs="Times New Roman"/>
                <w:color w:val="auto"/>
                <w:szCs w:val="21"/>
                <w:highlight w:val="none"/>
                <w:u w:val="single"/>
                <w:lang w:val="en-US" w:eastAsia="zh-CN"/>
              </w:rPr>
              <w:t>0日</w:t>
            </w:r>
            <w:r>
              <w:rPr>
                <w:rFonts w:hint="eastAsia"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color w:val="auto"/>
                <w:szCs w:val="21"/>
                <w:highlight w:val="none"/>
                <w:u w:val="single"/>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w:t>
            </w:r>
            <w:r>
              <w:rPr>
                <w:rFonts w:hint="eastAsia"/>
                <w:highlight w:val="none"/>
                <w:lang w:val="en-US" w:eastAsia="zh-CN"/>
              </w:rPr>
              <w:t>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年12月2</w:t>
            </w:r>
            <w:r>
              <w:rPr>
                <w:rFonts w:hint="eastAsia" w:cs="Times New Roman"/>
                <w:color w:val="000000"/>
                <w:szCs w:val="18"/>
                <w:highlight w:val="none"/>
                <w:u w:val="single"/>
                <w:lang w:val="en-US" w:eastAsia="zh-CN"/>
              </w:rPr>
              <w:t>0</w:t>
            </w:r>
            <w:r>
              <w:rPr>
                <w:rFonts w:hint="eastAsia" w:cs="Times New Roman"/>
                <w:color w:val="000000"/>
                <w:szCs w:val="18"/>
                <w:highlight w:val="none"/>
                <w:u w:val="single"/>
                <w:lang w:eastAsia="zh-CN"/>
              </w:rPr>
              <w:t>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“诚信至上，质量为主，优质高效；节能降耗，防治污染，保护环境；安全第一，保障健康，减少风险；全员参与，遵守法规，持续改进。</w:t>
            </w:r>
            <w:r>
              <w:rPr>
                <w:rFonts w:hint="eastAsia"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cs="Times New Roman"/>
                <w:highlight w:val="none"/>
                <w:lang w:val="en-US" w:eastAsia="zh-CN"/>
              </w:rPr>
              <w:t>江仁东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火灾</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default"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触电</w:t>
                  </w:r>
                </w:p>
              </w:tc>
              <w:tc>
                <w:tcPr>
                  <w:tcW w:w="4396"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pPr>
                  <w:r>
                    <w:rPr>
                      <w:rFonts w:hint="eastAsia" w:asciiTheme="minorEastAsia" w:hAnsiTheme="minorEastAsia"/>
                      <w:bCs/>
                      <w:kern w:val="0"/>
                      <w:szCs w:val="21"/>
                    </w:rPr>
                    <w:t>意外事故</w:t>
                  </w:r>
                </w:p>
              </w:tc>
              <w:tc>
                <w:tcPr>
                  <w:tcW w:w="4396"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25"/>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125" w:type="dxa"/>
                  <w:shd w:val="clear" w:color="auto" w:fill="auto"/>
                </w:tcPr>
                <w:p>
                  <w:pPr>
                    <w:rPr>
                      <w:rFonts w:ascii="宋体" w:hAnsi="宋体"/>
                    </w:rPr>
                  </w:pPr>
                  <w:r>
                    <w:rPr>
                      <w:rFonts w:hint="eastAsia" w:ascii="宋体" w:hAnsi="宋体"/>
                    </w:rPr>
                    <w:t>责任部门</w:t>
                  </w:r>
                </w:p>
              </w:tc>
              <w:tc>
                <w:tcPr>
                  <w:tcW w:w="1999" w:type="dxa"/>
                  <w:shd w:val="clear" w:color="auto" w:fill="auto"/>
                </w:tcPr>
                <w:p>
                  <w:pPr>
                    <w:rPr>
                      <w:rFonts w:ascii="宋体" w:hAnsi="宋体"/>
                    </w:rPr>
                  </w:pPr>
                  <w:r>
                    <w:rPr>
                      <w:rFonts w:hint="eastAsia" w:ascii="宋体" w:hAnsi="宋体"/>
                      <w:highlight w:val="none"/>
                    </w:rPr>
                    <w:t>目标实际完成</w:t>
                  </w:r>
                  <w:r>
                    <w:rPr>
                      <w:rFonts w:hint="eastAsia"/>
                      <w:color w:val="000000" w:themeColor="text1"/>
                      <w:szCs w:val="18"/>
                      <w:highlight w:val="none"/>
                    </w:rPr>
                    <w:t>（2022年</w:t>
                  </w:r>
                  <w:r>
                    <w:rPr>
                      <w:rFonts w:hint="eastAsia"/>
                      <w:color w:val="000000" w:themeColor="text1"/>
                      <w:szCs w:val="18"/>
                      <w:highlight w:val="none"/>
                      <w:lang w:val="en-US" w:eastAsia="zh-CN"/>
                    </w:rPr>
                    <w:t>7</w:t>
                  </w:r>
                  <w:r>
                    <w:rPr>
                      <w:rFonts w:hint="eastAsia"/>
                      <w:color w:val="000000" w:themeColor="text1"/>
                      <w:szCs w:val="18"/>
                      <w:highlight w:val="none"/>
                    </w:rPr>
                    <w:t>月-202</w:t>
                  </w:r>
                  <w:r>
                    <w:rPr>
                      <w:rFonts w:hint="eastAsia"/>
                      <w:color w:val="000000" w:themeColor="text1"/>
                      <w:szCs w:val="18"/>
                      <w:highlight w:val="none"/>
                      <w:lang w:val="en-US" w:eastAsia="zh-CN"/>
                    </w:rPr>
                    <w:t>3</w:t>
                  </w:r>
                  <w:r>
                    <w:rPr>
                      <w:rFonts w:hint="eastAsia"/>
                      <w:color w:val="000000" w:themeColor="text1"/>
                      <w:szCs w:val="18"/>
                      <w:highlight w:val="none"/>
                    </w:rPr>
                    <w:t>年</w:t>
                  </w:r>
                  <w:r>
                    <w:rPr>
                      <w:rFonts w:hint="eastAsia"/>
                      <w:color w:val="000000" w:themeColor="text1"/>
                      <w:szCs w:val="18"/>
                      <w:highlight w:val="none"/>
                      <w:lang w:val="en-US" w:eastAsia="zh-CN"/>
                    </w:rPr>
                    <w:t>1</w:t>
                  </w:r>
                  <w:r>
                    <w:rPr>
                      <w:rFonts w:hint="eastAsia"/>
                      <w:color w:val="000000" w:themeColor="text1"/>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rPr>
                    <w:t>火灾事故为</w:t>
                  </w:r>
                  <w:r>
                    <w:rPr>
                      <w:rFonts w:hint="eastAsia" w:ascii="宋体" w:hAnsi="宋体" w:cs="宋体"/>
                      <w:b w:val="0"/>
                      <w:bCs w:val="0"/>
                      <w:color w:val="auto"/>
                      <w:kern w:val="0"/>
                      <w:sz w:val="22"/>
                      <w:lang w:val="en-US" w:eastAsia="zh-CN"/>
                    </w:rPr>
                    <w:t>0</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125"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999"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rPr>
                    <w:t>触电事故为0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125"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999"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lang w:eastAsia="zh-CN"/>
                    </w:rPr>
                    <w:t>意外伤害事故为0</w:t>
                  </w:r>
                </w:p>
              </w:tc>
              <w:tc>
                <w:tcPr>
                  <w:tcW w:w="3136" w:type="dxa"/>
                  <w:shd w:val="clear" w:color="auto" w:fill="auto"/>
                  <w:vAlign w:val="center"/>
                </w:tcPr>
                <w:p>
                  <w:pPr>
                    <w:rPr>
                      <w:rFonts w:ascii="宋体" w:hAnsi="宋体" w:eastAsia="宋体" w:cs="Times New Roman"/>
                      <w:color w:val="000000" w:themeColor="text1"/>
                      <w:kern w:val="2"/>
                      <w:sz w:val="21"/>
                      <w:szCs w:val="24"/>
                      <w:highlight w:val="red"/>
                      <w:lang w:val="en-US" w:eastAsia="zh-CN" w:bidi="ar-SA"/>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1125"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999" w:type="dxa"/>
                  <w:shd w:val="clear" w:color="auto" w:fill="auto"/>
                  <w:vAlign w:val="center"/>
                </w:tcPr>
                <w:p>
                  <w:pPr>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w:t>
                  </w:r>
                  <w:r>
                    <w:rPr>
                      <w:rFonts w:hint="eastAsia" w:ascii="宋体" w:hAnsi="宋体" w:eastAsia="宋体" w:cs="宋体"/>
                      <w:b w:val="0"/>
                      <w:bCs w:val="0"/>
                      <w:color w:val="auto"/>
                      <w:kern w:val="0"/>
                      <w:sz w:val="22"/>
                      <w:lang w:eastAsia="zh-CN"/>
                    </w:rPr>
                    <w:t>意外伤害事故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5</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rPr>
              <w:t xml:space="preserve">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bookmarkStart w:id="34" w:name="_GoBack"/>
            <w:bookmarkEnd w:id="34"/>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w:t>
            </w:r>
            <w:r>
              <w:rPr>
                <w:rFonts w:hint="eastAsia"/>
                <w:highlight w:val="none"/>
                <w:u w:val="single"/>
                <w:lang w:val="en-US" w:eastAsia="zh-CN"/>
              </w:rPr>
              <w:t>9</w:t>
            </w:r>
            <w:r>
              <w:rPr>
                <w:rFonts w:hint="eastAsia"/>
                <w:highlight w:val="none"/>
                <w:u w:val="single"/>
                <w:lang w:eastAsia="zh-CN"/>
              </w:rPr>
              <w:t>月</w:t>
            </w:r>
            <w:r>
              <w:rPr>
                <w:rFonts w:hint="eastAsia"/>
                <w:highlight w:val="none"/>
                <w:u w:val="single"/>
                <w:lang w:val="en-US" w:eastAsia="zh-CN"/>
              </w:rPr>
              <w:t>20</w:t>
            </w:r>
            <w:r>
              <w:rPr>
                <w:rFonts w:hint="eastAsia"/>
                <w:highlight w:val="none"/>
                <w:u w:val="single"/>
                <w:lang w:eastAsia="zh-CN"/>
              </w:rPr>
              <w:t>日</w:t>
            </w:r>
            <w:r>
              <w:rPr>
                <w:rFonts w:hint="eastAsia" w:eastAsia="宋体"/>
                <w:highlight w:val="none"/>
              </w:rPr>
              <w:t>进行了火灾消防的演练；并总结了预</w:t>
            </w:r>
            <w:r>
              <w:rPr>
                <w:rFonts w:hint="eastAsia" w:eastAsia="宋体"/>
              </w:rPr>
              <w:t xml:space="preserve">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lang w:eastAsia="zh-CN"/>
              </w:rPr>
              <w:t>■</w:t>
            </w:r>
            <w:r>
              <w:rPr>
                <w:rFonts w:hint="eastAsia"/>
              </w:rPr>
              <w:t>存在不足，说明</w:t>
            </w:r>
            <w:r>
              <w:rPr>
                <w:rFonts w:hint="eastAsia"/>
                <w:lang w:eastAsia="zh-CN"/>
              </w:rPr>
              <w:t>：</w:t>
            </w:r>
            <w:r>
              <w:rPr>
                <w:rFonts w:hint="eastAsia" w:ascii="Times New Roman" w:hAnsi="Times New Roman" w:eastAsia="宋体" w:cs="Times New Roman"/>
                <w:u w:val="single"/>
              </w:rPr>
              <w:t>组织将触电列入不可接收风险清单并在管理方案中要求定期实施演练，但未实施触电应急演练。</w:t>
            </w:r>
            <w:r>
              <w:rPr>
                <w:rFonts w:hint="eastAsia" w:ascii="Times New Roman" w:hAnsi="Times New Roman" w:eastAsia="宋体" w:cs="Times New Roman"/>
                <w:u w:val="single"/>
                <w:lang w:val="en-US" w:eastAsia="zh-CN"/>
              </w:rPr>
              <w:t>已开具不符合项报告，需整改。</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w:t>
            </w:r>
            <w:r>
              <w:rPr>
                <w:rFonts w:hint="eastAsia" w:cs="Times New Roman"/>
                <w:highlight w:val="none"/>
                <w:u w:val="single"/>
                <w:lang w:val="en-US" w:eastAsia="zh-CN"/>
              </w:rPr>
              <w:t>2</w:t>
            </w:r>
            <w:r>
              <w:rPr>
                <w:rFonts w:hint="eastAsia" w:cs="Times New Roman"/>
                <w:highlight w:val="none"/>
                <w:u w:val="single"/>
                <w:lang w:eastAsia="zh-CN"/>
              </w:rPr>
              <w:t>年12月</w:t>
            </w:r>
            <w:r>
              <w:rPr>
                <w:rFonts w:hint="eastAsia" w:cs="Times New Roman"/>
                <w:highlight w:val="none"/>
                <w:u w:val="single"/>
                <w:lang w:val="en-US" w:eastAsia="zh-CN"/>
              </w:rPr>
              <w:t>5</w:t>
            </w:r>
            <w:r>
              <w:rPr>
                <w:rFonts w:hint="eastAsia" w:cs="Times New Roman"/>
                <w:highlight w:val="none"/>
                <w:u w:val="single"/>
                <w:lang w:eastAsia="zh-CN"/>
              </w:rPr>
              <w:t>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2</w:t>
            </w:r>
            <w:r>
              <w:rPr>
                <w:rFonts w:hint="eastAsia" w:ascii="宋体" w:hAnsi="宋体" w:eastAsia="宋体" w:cs="Times New Roman"/>
                <w:color w:val="auto"/>
                <w:szCs w:val="21"/>
                <w:u w:val="single"/>
              </w:rPr>
              <w:t>年12</w:t>
            </w:r>
            <w:r>
              <w:rPr>
                <w:rFonts w:hint="eastAsia" w:ascii="宋体" w:hAnsi="宋体" w:eastAsia="宋体" w:cs="Times New Roman"/>
                <w:color w:val="auto"/>
                <w:szCs w:val="21"/>
                <w:highlight w:val="none"/>
                <w:u w:val="single"/>
              </w:rPr>
              <w:t>月1</w:t>
            </w:r>
            <w:r>
              <w:rPr>
                <w:rFonts w:hint="eastAsia" w:ascii="宋体" w:hAnsi="宋体" w:eastAsia="宋体" w:cs="Times New Roman"/>
                <w:color w:val="auto"/>
                <w:szCs w:val="21"/>
                <w:highlight w:val="none"/>
                <w:u w:val="single"/>
                <w:lang w:val="en-US" w:eastAsia="zh-CN"/>
              </w:rPr>
              <w:t>0日</w:t>
            </w:r>
            <w:r>
              <w:rPr>
                <w:rFonts w:hint="eastAsia"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color w:val="auto"/>
                <w:szCs w:val="21"/>
                <w:highlight w:val="none"/>
                <w:u w:val="single"/>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年12月2</w:t>
            </w:r>
            <w:r>
              <w:rPr>
                <w:rFonts w:hint="eastAsia" w:cs="Times New Roman"/>
                <w:color w:val="000000"/>
                <w:szCs w:val="18"/>
                <w:highlight w:val="none"/>
                <w:u w:val="single"/>
                <w:lang w:val="en-US" w:eastAsia="zh-CN"/>
              </w:rPr>
              <w:t>0</w:t>
            </w:r>
            <w:r>
              <w:rPr>
                <w:rFonts w:hint="eastAsia" w:cs="Times New Roman"/>
                <w:color w:val="000000"/>
                <w:szCs w:val="18"/>
                <w:highlight w:val="none"/>
                <w:u w:val="single"/>
                <w:lang w:eastAsia="zh-CN"/>
              </w:rPr>
              <w:t>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2283016"/>
    <w:rsid w:val="096B7D90"/>
    <w:rsid w:val="0AD100C7"/>
    <w:rsid w:val="20E6517A"/>
    <w:rsid w:val="25D953AF"/>
    <w:rsid w:val="50B96C00"/>
    <w:rsid w:val="5A7F67C4"/>
    <w:rsid w:val="6CDA3D2E"/>
    <w:rsid w:val="70AD3C34"/>
    <w:rsid w:val="736E222C"/>
    <w:rsid w:val="7F8D0A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19918</Words>
  <Characters>20939</Characters>
  <Lines>150</Lines>
  <Paragraphs>42</Paragraphs>
  <TotalTime>5</TotalTime>
  <ScaleCrop>false</ScaleCrop>
  <LinksUpToDate>false</LinksUpToDate>
  <CharactersWithSpaces>23440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2023-02-17T05:29:29Z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