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rPr>
        <w:t>0</w:t>
      </w:r>
      <w:r>
        <w:rPr>
          <w:rFonts w:hint="eastAsia"/>
          <w:szCs w:val="44"/>
          <w:lang w:val="en-US" w:eastAsia="zh-CN"/>
        </w:rPr>
        <w:t>700</w:t>
      </w:r>
      <w:r>
        <w:rPr>
          <w:rFonts w:hint="eastAsia"/>
          <w:szCs w:val="44"/>
        </w:rPr>
        <w:t>-2019-QEO</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25pt;width:172.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格林朗斯科技(北京)有限公司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b/>
                <w:color w:val="000000"/>
                <w:sz w:val="20"/>
                <w:szCs w:val="20"/>
              </w:rPr>
            </w:pPr>
            <w:r>
              <w:rPr>
                <w:sz w:val="18"/>
                <w:szCs w:val="18"/>
              </w:rPr>
              <w:t>2017-N1OHSMS-2014142</w:t>
            </w:r>
          </w:p>
        </w:tc>
        <w:tc>
          <w:tcPr>
            <w:tcW w:w="2179" w:type="dxa"/>
            <w:gridSpan w:val="2"/>
          </w:tcPr>
          <w:p>
            <w:pPr>
              <w:rPr>
                <w:rFonts w:hint="eastAsia"/>
                <w:b/>
                <w:szCs w:val="21"/>
              </w:rPr>
            </w:pPr>
            <w:bookmarkStart w:id="1" w:name="专业代码"/>
            <w:r>
              <w:rPr>
                <w:rFonts w:hint="eastAsia"/>
                <w:b/>
                <w:szCs w:val="21"/>
              </w:rPr>
              <w:t>Q：29.08.05</w:t>
            </w:r>
          </w:p>
          <w:p>
            <w:pPr>
              <w:rPr>
                <w:rFonts w:hint="eastAsia"/>
                <w:b/>
                <w:szCs w:val="21"/>
              </w:rPr>
            </w:pPr>
            <w:r>
              <w:rPr>
                <w:rFonts w:hint="eastAsia"/>
                <w:b/>
                <w:szCs w:val="21"/>
              </w:rPr>
              <w:t>E：29.08.05</w:t>
            </w:r>
          </w:p>
          <w:p>
            <w:pPr>
              <w:rPr>
                <w:b/>
                <w:szCs w:val="21"/>
              </w:rPr>
            </w:pPr>
            <w:r>
              <w:rPr>
                <w:rFonts w:hint="eastAsia"/>
                <w:b/>
                <w:szCs w:val="21"/>
              </w:rPr>
              <w:t>O：29.08.05</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格林朗斯科技(北京)有限公司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t>北京市丰台区南三环西路16号3号楼15层1810</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bookmarkStart w:id="3" w:name="生产地址"/>
            <w:r>
              <w:t>北京市丰台区南三环西路搜宝商务中心3号楼1808</w:t>
            </w:r>
            <w:bookmarkEnd w:id="3"/>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4" w:name="联系人"/>
            <w:r>
              <w:t>宋大为</w:t>
            </w:r>
            <w:bookmarkEnd w:id="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hAnsi="宋体"/>
              </w:rPr>
              <w:t xml:space="preserve"> </w:t>
            </w:r>
            <w:bookmarkStart w:id="5" w:name="联系人手机"/>
            <w:r>
              <w:t>18601218135</w:t>
            </w:r>
            <w:bookmarkEnd w:id="5"/>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6" w:name="法人"/>
            <w:r>
              <w:t>王扬</w:t>
            </w:r>
            <w:bookmarkEnd w:id="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宋大为</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201</w:t>
            </w:r>
            <w:r>
              <w:rPr>
                <w:rFonts w:ascii="宋体"/>
                <w:b/>
                <w:color w:val="000000"/>
                <w:sz w:val="20"/>
                <w:szCs w:val="20"/>
              </w:rPr>
              <w:t>9.</w:t>
            </w:r>
            <w:r>
              <w:rPr>
                <w:rFonts w:hint="eastAsia" w:ascii="宋体"/>
                <w:b/>
                <w:color w:val="000000"/>
                <w:sz w:val="20"/>
                <w:szCs w:val="20"/>
                <w:lang w:val="en-US" w:eastAsia="zh-CN"/>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rFonts w:hint="eastAsia"/>
                <w:color w:val="000000"/>
                <w:szCs w:val="21"/>
              </w:rPr>
            </w:pPr>
            <w:bookmarkStart w:id="7" w:name="审核范围"/>
            <w:r>
              <w:rPr>
                <w:rFonts w:hint="eastAsia" w:ascii="宋体" w:hAnsi="宋体"/>
                <w:szCs w:val="21"/>
              </w:rPr>
              <w:t>Q：植物负氧离子释放液的销售</w:t>
            </w:r>
          </w:p>
          <w:p>
            <w:pPr>
              <w:rPr>
                <w:rFonts w:hint="eastAsia" w:ascii="宋体" w:hAnsi="宋体"/>
                <w:szCs w:val="21"/>
              </w:rPr>
            </w:pPr>
            <w:r>
              <w:rPr>
                <w:rFonts w:hint="eastAsia" w:ascii="宋体" w:hAnsi="宋体"/>
                <w:szCs w:val="21"/>
              </w:rPr>
              <w:t>E：植物负氧离子释放液的销售及其所涉及的环境管理活动</w:t>
            </w:r>
          </w:p>
          <w:p>
            <w:pPr>
              <w:rPr>
                <w:rFonts w:ascii="宋体" w:hAnsi="宋体"/>
                <w:szCs w:val="21"/>
              </w:rPr>
            </w:pPr>
            <w:r>
              <w:rPr>
                <w:rFonts w:hint="eastAsia" w:ascii="宋体" w:hAnsi="宋体"/>
                <w:szCs w:val="21"/>
              </w:rPr>
              <w:t>O：植物负氧离子释放液的销售及其所涉及的职业健康安全管理活动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r>
              <w:rPr>
                <w:rFonts w:hint="eastAsia"/>
                <w:b/>
                <w:szCs w:val="21"/>
              </w:rPr>
              <w:t>Q：29.08.05</w:t>
            </w:r>
          </w:p>
          <w:p>
            <w:pPr>
              <w:rPr>
                <w:rFonts w:hint="eastAsia"/>
                <w:b/>
                <w:szCs w:val="21"/>
              </w:rPr>
            </w:pPr>
            <w:r>
              <w:rPr>
                <w:rFonts w:hint="eastAsia"/>
                <w:b/>
                <w:szCs w:val="21"/>
              </w:rPr>
              <w:t>E：29.08.05</w:t>
            </w:r>
          </w:p>
          <w:p>
            <w:pPr>
              <w:spacing w:line="280" w:lineRule="exact"/>
              <w:rPr>
                <w:rFonts w:ascii="宋体"/>
                <w:b/>
                <w:color w:val="000000"/>
                <w:sz w:val="20"/>
                <w:szCs w:val="20"/>
              </w:rPr>
            </w:pPr>
            <w:r>
              <w:rPr>
                <w:rFonts w:hint="eastAsia"/>
                <w:b/>
                <w:szCs w:val="21"/>
              </w:rPr>
              <w:t>O：29.08.05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管理层、综合部、销售部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植物负氧离子释放液</w:t>
            </w:r>
          </w:p>
          <w:p>
            <w:pPr>
              <w:tabs>
                <w:tab w:val="left" w:pos="360"/>
              </w:tabs>
              <w:ind w:left="360" w:hanging="360"/>
              <w:rPr>
                <w:rFonts w:ascii="宋体"/>
                <w:b/>
                <w:color w:val="000000"/>
                <w:sz w:val="20"/>
                <w:szCs w:val="20"/>
              </w:rPr>
            </w:pPr>
            <w:r>
              <w:rPr>
                <w:rFonts w:hint="eastAsia" w:ascii="宋体" w:hAnsi="宋体"/>
                <w:b/>
                <w:color w:val="000000"/>
                <w:sz w:val="20"/>
                <w:szCs w:val="20"/>
              </w:rPr>
              <w:t>服务：销售服务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公司部门设置：销售部、综合部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t>北京市丰台区南三环西路搜宝商务中心3号楼1808</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color w:val="auto"/>
              </w:rPr>
            </w:pPr>
            <w:r>
              <w:rPr>
                <w:rFonts w:hint="eastAsia"/>
                <w:color w:val="auto"/>
              </w:rPr>
              <w:t>JC/T 2110-2012 室内空气离子浓度测试方法</w:t>
            </w:r>
          </w:p>
          <w:p>
            <w:pPr>
              <w:rPr>
                <w:rFonts w:hint="eastAsia"/>
                <w:color w:val="auto"/>
              </w:rPr>
            </w:pPr>
            <w:r>
              <w:rPr>
                <w:rFonts w:hint="eastAsia"/>
                <w:color w:val="auto"/>
              </w:rPr>
              <w:t xml:space="preserve">企业标准 Q/GLLS 001-2018 </w:t>
            </w:r>
            <w:r>
              <w:rPr>
                <w:rFonts w:hint="eastAsia" w:ascii="宋体" w:hAnsi="宋体"/>
                <w:szCs w:val="21"/>
              </w:rPr>
              <w:t>植物负氧离子释放液</w:t>
            </w:r>
          </w:p>
          <w:p>
            <w:pPr>
              <w:rPr>
                <w:rFonts w:hint="eastAsia"/>
                <w:color w:val="auto"/>
              </w:rPr>
            </w:pPr>
            <w:r>
              <w:rPr>
                <w:rFonts w:hint="eastAsia"/>
                <w:color w:val="auto"/>
              </w:rPr>
              <w:t>GB/T18801-2008《空气净化器》</w:t>
            </w:r>
          </w:p>
          <w:p>
            <w:pPr>
              <w:rPr>
                <w:rFonts w:hint="eastAsia"/>
                <w:color w:val="auto"/>
              </w:rPr>
            </w:pPr>
            <w:r>
              <w:rPr>
                <w:rFonts w:hint="eastAsia"/>
                <w:color w:val="auto"/>
              </w:rPr>
              <w:t>GB/T18883-2002《室内空气质量标准》</w:t>
            </w:r>
          </w:p>
          <w:p>
            <w:pPr>
              <w:rPr>
                <w:rFonts w:hint="eastAsia"/>
                <w:color w:val="auto"/>
              </w:rPr>
            </w:pPr>
            <w:r>
              <w:rPr>
                <w:rFonts w:hint="eastAsia"/>
                <w:color w:val="auto"/>
              </w:rPr>
              <w:t>GB18584-2001《室内装饰装修材料 有害物质限量》</w:t>
            </w:r>
          </w:p>
          <w:p>
            <w:pPr>
              <w:rPr>
                <w:rFonts w:hint="eastAsia"/>
                <w:color w:val="auto"/>
              </w:rPr>
            </w:pPr>
            <w:r>
              <w:rPr>
                <w:rFonts w:hint="eastAsia"/>
                <w:color w:val="auto"/>
              </w:rPr>
              <w:t>GB1.7《标准化工作导则产品包装标准的编写规定》</w:t>
            </w:r>
          </w:p>
          <w:p>
            <w:pPr>
              <w:rPr>
                <w:rFonts w:hint="eastAsia"/>
                <w:color w:val="auto"/>
              </w:rPr>
            </w:pPr>
            <w:r>
              <w:rPr>
                <w:rFonts w:hint="eastAsia"/>
                <w:color w:val="auto"/>
              </w:rPr>
              <w:t>JJF 1070-2000  定量包装商品净含量计量检验规则</w:t>
            </w:r>
          </w:p>
          <w:p>
            <w:pPr>
              <w:rPr>
                <w:rFonts w:hint="eastAsia"/>
                <w:color w:val="auto"/>
              </w:rPr>
            </w:pPr>
            <w:r>
              <w:rPr>
                <w:rFonts w:hint="eastAsia"/>
                <w:color w:val="auto"/>
              </w:rPr>
              <w:t>国家技术监督局第43号令《定量包装商品计量监督规定》</w:t>
            </w:r>
          </w:p>
          <w:p>
            <w:pPr>
              <w:rPr>
                <w:rFonts w:ascii="宋体"/>
                <w:sz w:val="20"/>
                <w:szCs w:val="20"/>
              </w:rPr>
            </w:pPr>
            <w:r>
              <w:rPr>
                <w:rFonts w:ascii="宋体"/>
                <w:sz w:val="20"/>
                <w:szCs w:val="20"/>
              </w:rPr>
              <w:tab/>
            </w:r>
          </w:p>
          <w:p>
            <w:pPr>
              <w:rPr>
                <w:rFonts w:ascii="宋体"/>
                <w:spacing w:val="-10"/>
                <w:sz w:val="20"/>
                <w:szCs w:val="20"/>
              </w:rPr>
            </w:pP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80" w:lineRule="exact"/>
              <w:rPr>
                <w:rFonts w:hint="eastAsia" w:ascii="宋体" w:hAnsi="宋体"/>
                <w:b/>
                <w:bCs/>
                <w:color w:val="000000"/>
                <w:sz w:val="24"/>
                <w:szCs w:val="32"/>
              </w:rPr>
            </w:pPr>
            <w:r>
              <w:rPr>
                <w:rFonts w:hint="eastAsia"/>
                <w:b/>
                <w:bCs/>
                <w:color w:val="000000"/>
                <w:sz w:val="24"/>
              </w:rPr>
              <w:t>客户沟通----合同评审----签订合同-----采购-----客户提货-----验收交付</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0"/>
                <w:szCs w:val="20"/>
                <w:u w:val="single"/>
              </w:rPr>
              <w:t xml:space="preserve">销售服务过程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bCs/>
              </w:rPr>
              <w:t>销售过程控制程序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重点审核部门：销售部、管理层、综合部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植物负氧离子释放液</w:t>
            </w:r>
            <w:r>
              <w:rPr>
                <w:rFonts w:hint="eastAsia" w:ascii="宋体" w:hAnsi="宋体" w:cs="宋体"/>
                <w:kern w:val="0"/>
                <w:sz w:val="24"/>
              </w:rPr>
              <w:t>的</w:t>
            </w:r>
            <w:r>
              <w:rPr>
                <w:rFonts w:hint="eastAsia" w:ascii="宋体" w:hAnsi="宋体"/>
                <w:b/>
                <w:color w:val="000000"/>
                <w:sz w:val="20"/>
                <w:szCs w:val="20"/>
              </w:rPr>
              <w:t>销售过程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重点审核部门：销售部、综合部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重点审核部门：销售部、综合部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t>2019.</w:t>
            </w:r>
            <w:r>
              <w:rPr>
                <w:rFonts w:hint="eastAsia"/>
                <w:lang w:val="en-US" w:eastAsia="zh-CN"/>
              </w:rPr>
              <w:t>10.20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bookmarkStart w:id="8" w:name="_GoBack"/>
      <w:bookmarkEnd w:id="8"/>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8" o:spt="75" alt="" type="#_x0000_t75" style="height:18.75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alt="" type="#_x0000_t75" style="height:10.75pt;width:71.25pt;" filled="f" o:preferrelative="t" stroked="f" coordsize="21600,21600">
            <v:path/>
            <v:fill on="f" focussize="0,0"/>
            <v:stroke on="f"/>
            <v:imagedata r:id="rId6" o:title=""/>
            <o:lock v:ext="edit" aspectratio="t"/>
            <w10:wrap type="none"/>
            <w10:anchorlock/>
          </v:shape>
        </w:pic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20.3.16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格林朗斯科技(北京)有限公司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color w:val="000000"/>
                <w:sz w:val="24"/>
              </w:rPr>
            </w:pPr>
            <w:r>
              <w:rPr>
                <w:rFonts w:hint="eastAsia" w:ascii="宋体" w:hAnsi="宋体"/>
                <w:szCs w:val="21"/>
              </w:rPr>
              <w:t>外来文件清单中，未提供与“植物负氧离子释放液”相关的标准</w:t>
            </w:r>
          </w:p>
        </w:tc>
        <w:tc>
          <w:tcPr>
            <w:tcW w:w="1688" w:type="dxa"/>
          </w:tcPr>
          <w:p>
            <w:pPr>
              <w:pStyle w:val="5"/>
              <w:pBdr>
                <w:bottom w:val="none" w:color="auto" w:sz="0" w:space="0"/>
              </w:pBdr>
              <w:ind w:right="600"/>
              <w:jc w:val="left"/>
              <w:rPr>
                <w:rFonts w:ascii="宋体" w:hAnsi="宋体"/>
                <w:bCs/>
                <w:spacing w:val="10"/>
                <w:sz w:val="21"/>
                <w:szCs w:val="21"/>
              </w:rPr>
            </w:pPr>
            <w:r>
              <w:rPr>
                <w:rFonts w:hint="eastAsia" w:ascii="宋体" w:hAnsi="宋体"/>
                <w:bCs/>
                <w:spacing w:val="10"/>
                <w:sz w:val="21"/>
                <w:szCs w:val="21"/>
              </w:rPr>
              <w:t>Q</w:t>
            </w:r>
            <w:r>
              <w:rPr>
                <w:rFonts w:ascii="宋体" w:hAnsi="宋体"/>
                <w:bCs/>
                <w:spacing w:val="10"/>
                <w:sz w:val="21"/>
                <w:szCs w:val="21"/>
              </w:rPr>
              <w:t>7.5</w:t>
            </w:r>
          </w:p>
        </w:tc>
        <w:tc>
          <w:tcPr>
            <w:tcW w:w="1811" w:type="dxa"/>
          </w:tcPr>
          <w:p>
            <w:pPr>
              <w:pStyle w:val="5"/>
              <w:pBdr>
                <w:bottom w:val="none" w:color="auto" w:sz="0" w:space="0"/>
              </w:pBdr>
              <w:ind w:right="600"/>
              <w:jc w:val="left"/>
              <w:rPr>
                <w:rFonts w:ascii="宋体" w:hAnsi="宋体"/>
                <w:bCs/>
                <w:spacing w:val="10"/>
                <w:sz w:val="21"/>
                <w:szCs w:val="21"/>
              </w:rPr>
            </w:pPr>
            <w:r>
              <w:rPr>
                <w:rFonts w:hint="eastAsia" w:ascii="宋体" w:hAnsi="宋体"/>
                <w:bCs/>
                <w:spacing w:val="10"/>
                <w:sz w:val="21"/>
                <w:szCs w:val="21"/>
              </w:rPr>
              <w:t>Q</w:t>
            </w:r>
            <w:r>
              <w:rPr>
                <w:rFonts w:ascii="宋体" w:hAnsi="宋体"/>
                <w:bCs/>
                <w:spacing w:val="10"/>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rFonts w:hint="eastAsia"/>
                <w:b/>
                <w:color w:val="000000"/>
                <w:sz w:val="22"/>
                <w:szCs w:val="22"/>
              </w:rPr>
              <w:t>月</w:t>
            </w:r>
            <w:r>
              <w:rPr>
                <w:b/>
                <w:color w:val="000000"/>
                <w:sz w:val="22"/>
                <w:szCs w:val="22"/>
              </w:rPr>
              <w:t>1</w:t>
            </w:r>
            <w:r>
              <w:rPr>
                <w:rFonts w:hint="eastAsia"/>
                <w:b/>
                <w:color w:val="000000"/>
                <w:sz w:val="22"/>
                <w:szCs w:val="22"/>
                <w:lang w:val="en-US" w:eastAsia="zh-CN"/>
              </w:rPr>
              <w:t>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20.3.17</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01B84502"/>
    <w:rsid w:val="12D6052A"/>
    <w:rsid w:val="13AB5065"/>
    <w:rsid w:val="1E2252C2"/>
    <w:rsid w:val="36F10BB0"/>
    <w:rsid w:val="3BE052AD"/>
    <w:rsid w:val="49916B26"/>
    <w:rsid w:val="4E7F1263"/>
    <w:rsid w:val="560832DF"/>
    <w:rsid w:val="59000032"/>
    <w:rsid w:val="5D3B5904"/>
    <w:rsid w:val="6CFC1B86"/>
    <w:rsid w:val="743556D8"/>
    <w:rsid w:val="7F6E36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1554</Words>
  <Characters>8858</Characters>
  <Lines>73</Lines>
  <Paragraphs>20</Paragraphs>
  <TotalTime>0</TotalTime>
  <ScaleCrop>false</ScaleCrop>
  <LinksUpToDate>false</LinksUpToDate>
  <CharactersWithSpaces>10392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2020-03-19T07:47:17Z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