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0127-2023-QEO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毕节金悦餐饮服务有限公司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毕节金悦餐饮服务有限公司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贵州省毕节市七星关区洪山街道拥军路31号毕节市民族中学</w:t>
            </w:r>
            <w:bookmarkEnd w:id="6"/>
          </w:p>
        </w:tc>
        <w:tc>
          <w:tcPr>
            <w:tcW w:w="1242" w:type="dxa"/>
            <w:vMerge w:val="restart"/>
            <w:vAlign w:val="center"/>
          </w:tcPr>
          <w:p>
            <w:r>
              <w:rPr>
                <w:rFonts w:hint="eastAsia"/>
              </w:rPr>
              <w:t>邮编</w:t>
            </w:r>
          </w:p>
        </w:tc>
        <w:tc>
          <w:tcPr>
            <w:tcW w:w="1771" w:type="dxa"/>
          </w:tcPr>
          <w:p>
            <w:bookmarkStart w:id="7" w:name="注册邮编"/>
            <w:r>
              <w:t>551700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贵州省毕节市七星关区洪山街道拥军路31号毕节市民族中学</w:t>
            </w:r>
            <w:bookmarkEnd w:id="8"/>
          </w:p>
        </w:tc>
        <w:tc>
          <w:tcPr>
            <w:tcW w:w="1242" w:type="dxa"/>
            <w:vMerge w:val="continue"/>
            <w:vAlign w:val="center"/>
          </w:tcPr>
          <w:p/>
        </w:tc>
        <w:tc>
          <w:tcPr>
            <w:tcW w:w="1771" w:type="dxa"/>
          </w:tcPr>
          <w:p>
            <w:bookmarkStart w:id="9" w:name="办公邮编"/>
            <w:r>
              <w:t>551700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匡丽春</w:t>
            </w:r>
            <w:bookmarkEnd w:id="10"/>
          </w:p>
        </w:tc>
        <w:tc>
          <w:tcPr>
            <w:tcW w:w="1313" w:type="dxa"/>
            <w:vAlign w:val="center"/>
          </w:tcPr>
          <w:p>
            <w:r>
              <w:rPr>
                <w:rFonts w:hint="eastAsia"/>
              </w:rPr>
              <w:t>电话.</w:t>
            </w:r>
          </w:p>
        </w:tc>
        <w:tc>
          <w:tcPr>
            <w:tcW w:w="2180" w:type="dxa"/>
            <w:vAlign w:val="center"/>
          </w:tcPr>
          <w:p>
            <w:bookmarkStart w:id="11" w:name="联系人电话"/>
            <w:r>
              <w:t>18508576665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匡丽春</w:t>
            </w:r>
            <w:bookmarkEnd w:id="13"/>
          </w:p>
        </w:tc>
        <w:tc>
          <w:tcPr>
            <w:tcW w:w="1313" w:type="dxa"/>
            <w:vAlign w:val="center"/>
          </w:tcPr>
          <w:p>
            <w:r>
              <w:rPr>
                <w:rFonts w:hint="eastAsia"/>
              </w:rPr>
              <w:t>管理者代表</w:t>
            </w:r>
          </w:p>
        </w:tc>
        <w:tc>
          <w:tcPr>
            <w:tcW w:w="2180" w:type="dxa"/>
          </w:tcPr>
          <w:p>
            <w:bookmarkStart w:id="14" w:name="管理者代表"/>
            <w:r>
              <w:t>胡仰虎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采购验收→摘菜洗菜→切菜配菜→蒸饭炒菜→配餐→卫生、消毒→留样</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2023年02月04日 至2023年02月07日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tabs>
                <w:tab w:val="left" w:pos="965"/>
              </w:tabs>
              <w:bidi w:val="0"/>
              <w:jc w:val="left"/>
              <w:rPr>
                <w:rFonts w:ascii="Times New Roman" w:hAnsi="Times New Roman" w:eastAsia="宋体" w:cs="Times New Roman"/>
                <w:kern w:val="2"/>
                <w:sz w:val="21"/>
                <w:szCs w:val="24"/>
                <w:lang w:val="en-US" w:eastAsia="zh-CN" w:bidi="ar-SA"/>
              </w:rPr>
            </w:pPr>
            <w:r>
              <w:rPr>
                <w:rFonts w:asciiTheme="minorEastAsia" w:hAnsiTheme="minorEastAsia" w:eastAsiaTheme="minorEastAsia"/>
                <w:sz w:val="20"/>
              </w:rPr>
              <w:t>贵州省毕节市七星关区洪山街道拥军路31号毕节市民族中学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Q：热食类食品制售</w:t>
            </w:r>
          </w:p>
          <w:p>
            <w:r>
              <w:t>E：热食类食品制售所涉及场所的相关环境管理活动</w:t>
            </w:r>
          </w:p>
          <w:p>
            <w:r>
              <w:t>O：热食类食品制售所涉及场所的相关职业健康安全管理活动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Q：30.05.00</w:t>
            </w:r>
          </w:p>
          <w:p>
            <w:r>
              <w:t>E：30.05.00</w:t>
            </w:r>
          </w:p>
          <w:p>
            <w:r>
              <w:t>O：30.05.00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2022年10月10日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毕节金悦餐饮服务有限公司</w:t>
            </w:r>
            <w:r>
              <w:rPr>
                <w:rFonts w:hint="eastAsia"/>
                <w:sz w:val="21"/>
                <w:szCs w:val="21"/>
                <w:lang w:val="en-US" w:eastAsia="zh-CN"/>
              </w:rPr>
              <w:t>/</w:t>
            </w:r>
            <w:r>
              <w:rPr>
                <w:rFonts w:asciiTheme="minorEastAsia" w:hAnsiTheme="minorEastAsia" w:eastAsiaTheme="minorEastAsia"/>
                <w:sz w:val="20"/>
              </w:rPr>
              <w:t>贵州省毕节市七星关区洪山街道拥军路31号毕节市民族中学</w:t>
            </w:r>
          </w:p>
        </w:tc>
        <w:tc>
          <w:tcPr>
            <w:tcW w:w="2267" w:type="dxa"/>
          </w:tcPr>
          <w:p>
            <w:pPr>
              <w:rPr>
                <w:lang w:val="de-DE" w:eastAsia="ja-JP"/>
              </w:rPr>
            </w:pPr>
            <w:r>
              <w:rPr>
                <w:rFonts w:asciiTheme="minorEastAsia" w:hAnsiTheme="minorEastAsia" w:eastAsiaTheme="minorEastAsia"/>
                <w:sz w:val="20"/>
              </w:rPr>
              <w:t>贵州省毕节市七星关区洪山街道拥军路31号毕节市民族中学</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sz w:val="20"/>
              </w:rPr>
            </w:pPr>
            <w:r>
              <w:rPr>
                <w:sz w:val="20"/>
              </w:rPr>
              <w:t>Q：热食类食品制售</w:t>
            </w:r>
          </w:p>
          <w:p>
            <w:pPr>
              <w:rPr>
                <w:sz w:val="20"/>
              </w:rPr>
            </w:pPr>
            <w:r>
              <w:rPr>
                <w:sz w:val="20"/>
              </w:rPr>
              <w:t>E：热食类食品制售所涉及场所的相关环境管理活动</w:t>
            </w:r>
          </w:p>
          <w:p>
            <w:pPr>
              <w:rPr>
                <w:lang w:eastAsia="ja-JP"/>
              </w:rPr>
            </w:pPr>
            <w:r>
              <w:rPr>
                <w:sz w:val="20"/>
              </w:rPr>
              <w:t>O：热食类食品制售所涉及场所的相关职业健康安全管理活动</w:t>
            </w:r>
          </w:p>
        </w:tc>
        <w:tc>
          <w:tcPr>
            <w:tcW w:w="669" w:type="dxa"/>
            <w:vAlign w:val="center"/>
          </w:tcPr>
          <w:p>
            <w:pPr>
              <w:rPr>
                <w:rFonts w:hint="eastAsia" w:ascii="Times New Roman" w:hAnsi="Times New Roman" w:eastAsia="Times New Roman" w:cs="Times New Roman"/>
                <w:kern w:val="2"/>
                <w:sz w:val="20"/>
                <w:szCs w:val="20"/>
                <w:lang w:val="de-DE" w:eastAsia="zh-CN" w:bidi="ar-SA"/>
              </w:rPr>
            </w:pPr>
            <w:r>
              <w:rPr>
                <w:rFonts w:hint="eastAsia" w:ascii="Times New Roman" w:hAnsi="Times New Roman" w:eastAsia="Times New Roman" w:cs="Times New Roman"/>
                <w:kern w:val="2"/>
                <w:sz w:val="20"/>
                <w:szCs w:val="20"/>
                <w:lang w:val="de-DE" w:eastAsia="zh-CN" w:bidi="ar-SA"/>
              </w:rPr>
              <w:t>GB/T19001-2016GB/T24001-2016</w:t>
            </w:r>
          </w:p>
          <w:p>
            <w:pPr>
              <w:rPr>
                <w:rFonts w:hint="default" w:ascii="Times New Roman" w:hAnsi="Times New Roman" w:eastAsia="Times New Roman" w:cs="Times New Roman"/>
                <w:kern w:val="2"/>
                <w:sz w:val="20"/>
                <w:szCs w:val="20"/>
                <w:lang w:val="en-US" w:eastAsia="zh-CN" w:bidi="ar-SA"/>
              </w:rPr>
            </w:pPr>
            <w:r>
              <w:rPr>
                <w:rFonts w:hint="eastAsia" w:ascii="Times New Roman" w:hAnsi="Times New Roman" w:eastAsia="Times New Roman" w:cs="Times New Roman"/>
                <w:kern w:val="2"/>
                <w:sz w:val="20"/>
                <w:szCs w:val="20"/>
                <w:lang w:val="de-DE" w:eastAsia="zh-CN" w:bidi="ar-SA"/>
              </w:rPr>
              <w:t>GB/T</w:t>
            </w:r>
            <w:r>
              <w:rPr>
                <w:rFonts w:hint="eastAsia" w:ascii="Times New Roman" w:hAnsi="Times New Roman" w:eastAsia="Times New Roman" w:cs="Times New Roman"/>
                <w:kern w:val="2"/>
                <w:sz w:val="20"/>
                <w:szCs w:val="20"/>
                <w:lang w:val="en-US" w:eastAsia="zh-CN" w:bidi="ar-SA"/>
              </w:rPr>
              <w:t xml:space="preserve"> </w:t>
            </w:r>
            <w:r>
              <w:rPr>
                <w:rFonts w:hint="eastAsia" w:ascii="Times New Roman" w:hAnsi="Times New Roman" w:eastAsia="Times New Roman" w:cs="Times New Roman"/>
                <w:kern w:val="2"/>
                <w:sz w:val="20"/>
                <w:szCs w:val="20"/>
                <w:lang w:val="de-DE" w:eastAsia="zh-CN" w:bidi="ar-SA"/>
              </w:rPr>
              <w:t>45001</w:t>
            </w:r>
            <w:r>
              <w:rPr>
                <w:rFonts w:hint="eastAsia" w:ascii="Times New Roman" w:hAnsi="Times New Roman" w:eastAsia="Times New Roman" w:cs="Times New Roman"/>
                <w:kern w:val="2"/>
                <w:sz w:val="20"/>
                <w:szCs w:val="20"/>
                <w:lang w:val="en-US" w:eastAsia="zh-CN" w:bidi="ar-SA"/>
              </w:rPr>
              <w:t>-2020</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E:30.05.00</w:t>
            </w:r>
          </w:p>
          <w:p>
            <w: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徐不丁</w:t>
            </w:r>
          </w:p>
        </w:tc>
        <w:tc>
          <w:tcPr>
            <w:tcW w:w="1089" w:type="dxa"/>
            <w:vAlign w:val="center"/>
          </w:tcPr>
          <w:p>
            <w:r>
              <w:t>组员</w:t>
            </w:r>
          </w:p>
        </w:tc>
        <w:tc>
          <w:tcPr>
            <w:tcW w:w="711" w:type="dxa"/>
            <w:vAlign w:val="center"/>
          </w:tcPr>
          <w:p>
            <w:r>
              <w:t>女</w:t>
            </w:r>
          </w:p>
        </w:tc>
        <w:tc>
          <w:tcPr>
            <w:tcW w:w="3870" w:type="dxa"/>
            <w:vAlign w:val="center"/>
          </w:tcPr>
          <w:p>
            <w:r>
              <w:t>ISC-JSZJ-605</w:t>
            </w:r>
          </w:p>
          <w:p>
            <w:r>
              <w:t>ISC-JSZJ-605</w:t>
            </w:r>
          </w:p>
          <w:p>
            <w:r>
              <w:t>ISC-JSZJ-605</w:t>
            </w:r>
          </w:p>
          <w:p>
            <w:r>
              <w:t>毕节腾龙凯悦酒店管理有限公司</w:t>
            </w:r>
          </w:p>
        </w:tc>
        <w:tc>
          <w:tcPr>
            <w:tcW w:w="2179" w:type="dxa"/>
            <w:vAlign w:val="center"/>
          </w:tcPr>
          <w:p>
            <w:r>
              <w:t>Q:30.05.00</w:t>
            </w:r>
          </w:p>
          <w:p>
            <w:r>
              <w:t>E:30.05.00</w:t>
            </w:r>
          </w:p>
          <w:p>
            <w:r>
              <w:t>O:30.05.00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热食类食品制售所涉及场所的相关环境管理活动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热食类食品制售所涉及场所的相关职业健康安全管理活动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221615</wp:posOffset>
                  </wp:positionH>
                  <wp:positionV relativeFrom="paragraph">
                    <wp:posOffset>27940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2023年2月8日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widowControl w:val="0"/>
              <w:kinsoku/>
              <w:wordWrap/>
              <w:overflowPunct/>
              <w:topLinePunct w:val="0"/>
              <w:autoSpaceDE/>
              <w:autoSpaceDN/>
              <w:bidi w:val="0"/>
              <w:spacing w:after="0" w:line="240" w:lineRule="auto"/>
              <w:jc w:val="left"/>
              <w:textAlignment w:val="auto"/>
              <w:rPr>
                <w:rFonts w:hint="eastAsia" w:ascii="宋体" w:hAnsi="宋体" w:eastAsia="宋体" w:cs="宋体"/>
                <w:b w:val="0"/>
                <w:spacing w:val="0"/>
                <w:sz w:val="21"/>
                <w:szCs w:val="21"/>
              </w:rPr>
            </w:pPr>
            <w:r>
              <w:rPr>
                <w:rFonts w:hint="eastAsia"/>
              </w:rPr>
              <w:t>最高管理者制定了文件化的管理体系方针：</w:t>
            </w:r>
            <w:r>
              <w:rPr>
                <w:rFonts w:hint="eastAsia" w:ascii="宋体" w:hAnsi="宋体" w:eastAsia="宋体" w:cs="宋体"/>
                <w:b w:val="0"/>
                <w:spacing w:val="0"/>
                <w:sz w:val="21"/>
                <w:szCs w:val="21"/>
              </w:rPr>
              <w:t>卫生安全，质量为先；强化管理，持续改进；</w:t>
            </w:r>
          </w:p>
          <w:p>
            <w:pPr>
              <w:keepNext w:val="0"/>
              <w:keepLines w:val="0"/>
              <w:pageBreakBefore w:val="0"/>
              <w:widowControl w:val="0"/>
              <w:kinsoku/>
              <w:wordWrap/>
              <w:overflowPunct/>
              <w:topLinePunct w:val="0"/>
              <w:autoSpaceDE/>
              <w:autoSpaceDN/>
              <w:bidi w:val="0"/>
              <w:spacing w:after="0" w:line="240" w:lineRule="auto"/>
              <w:jc w:val="left"/>
              <w:textAlignment w:val="auto"/>
              <w:rPr>
                <w:rFonts w:hint="eastAsia" w:ascii="宋体" w:hAnsi="宋体" w:eastAsia="宋体" w:cs="宋体"/>
                <w:b w:val="0"/>
                <w:spacing w:val="0"/>
                <w:sz w:val="21"/>
                <w:szCs w:val="21"/>
              </w:rPr>
            </w:pPr>
            <w:r>
              <w:rPr>
                <w:rFonts w:hint="eastAsia" w:ascii="宋体" w:hAnsi="宋体" w:eastAsia="宋体" w:cs="宋体"/>
                <w:b w:val="0"/>
                <w:spacing w:val="0"/>
                <w:sz w:val="21"/>
                <w:szCs w:val="21"/>
              </w:rPr>
              <w:t>环保美观，结构合理，关爱环境，预防污染；</w:t>
            </w:r>
          </w:p>
          <w:p>
            <w:pPr>
              <w:shd w:val="clear" w:color="auto" w:fill="C7DAF1" w:themeFill="text2" w:themeFillTint="32"/>
              <w:rPr>
                <w:u w:val="single"/>
              </w:rPr>
            </w:pPr>
            <w:r>
              <w:rPr>
                <w:rFonts w:hint="eastAsia" w:ascii="宋体" w:hAnsi="宋体" w:eastAsia="宋体" w:cs="宋体"/>
                <w:b w:val="0"/>
                <w:spacing w:val="0"/>
                <w:sz w:val="21"/>
                <w:szCs w:val="21"/>
              </w:rPr>
              <w:t>以人为本，关注安全，遵规守法，降低风险</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餐饮部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服务质量不达标，造成师生不满意</w:t>
                  </w:r>
                </w:p>
              </w:tc>
              <w:tc>
                <w:tcPr>
                  <w:tcW w:w="3965" w:type="dxa"/>
                  <w:vAlign w:val="top"/>
                </w:tcPr>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餐饮部门严格把控服务质量要求，并编制作业指导书，确保公司餐饮服务满足师生就餐要求；</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顾客满意度≥90分</w:t>
                  </w:r>
                </w:p>
              </w:tc>
              <w:tc>
                <w:tcPr>
                  <w:tcW w:w="3136" w:type="dxa"/>
                  <w:shd w:val="clear" w:color="auto" w:fill="auto"/>
                  <w:vAlign w:val="center"/>
                </w:tcPr>
                <w:p>
                  <w:pPr>
                    <w:keepNext w:val="0"/>
                    <w:keepLines w:val="0"/>
                    <w:widowControl/>
                    <w:suppressLineNumbers w:val="0"/>
                    <w:jc w:val="left"/>
                    <w:textAlignment w:val="center"/>
                    <w:rPr>
                      <w:lang w:val="en-GB"/>
                    </w:rPr>
                  </w:pPr>
                  <w:r>
                    <w:rPr>
                      <w:rFonts w:hint="eastAsia" w:ascii="宋体" w:hAnsi="宋体" w:eastAsia="宋体" w:cs="宋体"/>
                      <w:i w:val="0"/>
                      <w:iCs w:val="0"/>
                      <w:color w:val="000000"/>
                      <w:kern w:val="0"/>
                      <w:sz w:val="22"/>
                      <w:szCs w:val="22"/>
                      <w:u w:val="none"/>
                      <w:lang w:val="en-US" w:eastAsia="zh-CN" w:bidi="ar"/>
                    </w:rPr>
                    <w:t>调查客户总分/客户数量</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餐饮部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食物中毒事故为</w:t>
                  </w:r>
                  <w:r>
                    <w:rPr>
                      <w:rStyle w:val="26"/>
                      <w:rFonts w:eastAsia="宋体"/>
                      <w:lang w:val="en-US" w:eastAsia="zh-CN" w:bidi="ar"/>
                    </w:rPr>
                    <w:t>0</w:t>
                  </w:r>
                </w:p>
              </w:tc>
              <w:tc>
                <w:tcPr>
                  <w:tcW w:w="3136" w:type="dxa"/>
                  <w:shd w:val="clear" w:color="auto" w:fill="auto"/>
                  <w:vAlign w:val="center"/>
                </w:tcPr>
                <w:p>
                  <w:pPr>
                    <w:keepNext w:val="0"/>
                    <w:keepLines w:val="0"/>
                    <w:widowControl/>
                    <w:suppressLineNumbers w:val="0"/>
                    <w:jc w:val="left"/>
                    <w:textAlignment w:val="center"/>
                    <w:rPr>
                      <w:rFonts w:ascii="宋体" w:hAnsi="宋体"/>
                    </w:rPr>
                  </w:pPr>
                  <w:r>
                    <w:rPr>
                      <w:rFonts w:hint="eastAsia" w:ascii="宋体" w:hAnsi="宋体" w:eastAsia="宋体" w:cs="宋体"/>
                      <w:i w:val="0"/>
                      <w:iCs w:val="0"/>
                      <w:color w:val="000000"/>
                      <w:kern w:val="0"/>
                      <w:sz w:val="22"/>
                      <w:szCs w:val="22"/>
                      <w:u w:val="none"/>
                      <w:lang w:val="en-US" w:eastAsia="zh-CN" w:bidi="ar"/>
                    </w:rPr>
                    <w:t>以实际发生为准进行计数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餐饮部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一类客户合理投诉</w:t>
                  </w:r>
                </w:p>
              </w:tc>
              <w:tc>
                <w:tcPr>
                  <w:tcW w:w="3136" w:type="dxa"/>
                  <w:shd w:val="clear" w:color="auto" w:fill="auto"/>
                  <w:vAlign w:val="center"/>
                </w:tcPr>
                <w:p>
                  <w:pPr>
                    <w:keepNext w:val="0"/>
                    <w:keepLines w:val="0"/>
                    <w:widowControl/>
                    <w:suppressLineNumbers w:val="0"/>
                    <w:jc w:val="left"/>
                    <w:textAlignment w:val="center"/>
                    <w:rPr>
                      <w:rFonts w:ascii="宋体" w:hAnsi="宋体"/>
                    </w:rPr>
                  </w:pPr>
                  <w:r>
                    <w:rPr>
                      <w:rFonts w:hint="eastAsia" w:ascii="宋体" w:hAnsi="宋体" w:eastAsia="宋体" w:cs="宋体"/>
                      <w:i w:val="0"/>
                      <w:iCs w:val="0"/>
                      <w:color w:val="000000"/>
                      <w:kern w:val="0"/>
                      <w:sz w:val="22"/>
                      <w:szCs w:val="22"/>
                      <w:u w:val="none"/>
                      <w:lang w:val="en-US" w:eastAsia="zh-CN" w:bidi="ar"/>
                    </w:rPr>
                    <w:t>以实际发生为准进行计数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餐饮部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二类客户合理投诉</w:t>
                  </w:r>
                </w:p>
              </w:tc>
              <w:tc>
                <w:tcPr>
                  <w:tcW w:w="3136" w:type="dxa"/>
                  <w:shd w:val="clear" w:color="auto" w:fill="auto"/>
                  <w:vAlign w:val="center"/>
                </w:tcPr>
                <w:p>
                  <w:pPr>
                    <w:keepNext w:val="0"/>
                    <w:keepLines w:val="0"/>
                    <w:widowControl/>
                    <w:suppressLineNumbers w:val="0"/>
                    <w:jc w:val="left"/>
                    <w:textAlignment w:val="center"/>
                    <w:rPr>
                      <w:rFonts w:ascii="宋体" w:hAnsi="宋体"/>
                    </w:rPr>
                  </w:pPr>
                  <w:r>
                    <w:rPr>
                      <w:rFonts w:hint="eastAsia" w:ascii="宋体" w:hAnsi="宋体" w:eastAsia="宋体" w:cs="宋体"/>
                      <w:i w:val="0"/>
                      <w:iCs w:val="0"/>
                      <w:color w:val="000000"/>
                      <w:kern w:val="0"/>
                      <w:sz w:val="22"/>
                      <w:szCs w:val="22"/>
                      <w:u w:val="none"/>
                      <w:lang w:val="en-US" w:eastAsia="zh-CN" w:bidi="ar"/>
                    </w:rPr>
                    <w:t>以实际发生为准进行计数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餐饮部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三类客户合理投诉</w:t>
                  </w:r>
                </w:p>
              </w:tc>
              <w:tc>
                <w:tcPr>
                  <w:tcW w:w="3136" w:type="dxa"/>
                  <w:shd w:val="clear" w:color="auto" w:fill="auto"/>
                  <w:vAlign w:val="center"/>
                </w:tcPr>
                <w:p>
                  <w:pPr>
                    <w:keepNext w:val="0"/>
                    <w:keepLines w:val="0"/>
                    <w:widowControl/>
                    <w:suppressLineNumbers w:val="0"/>
                    <w:jc w:val="left"/>
                    <w:textAlignment w:val="center"/>
                    <w:rPr>
                      <w:rFonts w:ascii="宋体" w:hAnsi="宋体"/>
                    </w:rPr>
                  </w:pPr>
                  <w:r>
                    <w:rPr>
                      <w:rFonts w:hint="eastAsia" w:ascii="宋体" w:hAnsi="宋体" w:eastAsia="宋体" w:cs="宋体"/>
                      <w:i w:val="0"/>
                      <w:iCs w:val="0"/>
                      <w:color w:val="000000"/>
                      <w:kern w:val="0"/>
                      <w:sz w:val="22"/>
                      <w:szCs w:val="22"/>
                      <w:u w:val="none"/>
                      <w:lang w:val="en-US" w:eastAsia="zh-CN" w:bidi="ar"/>
                    </w:rPr>
                    <w:t>以实际发生为准进行计数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餐饮部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完成</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ascii="宋体" w:hAnsi="宋体" w:eastAsia="宋体" w:cs="宋体"/>
                <w:color w:val="000000"/>
                <w:spacing w:val="0"/>
                <w:sz w:val="21"/>
                <w:szCs w:val="21"/>
                <w:lang w:val="en-US" w:eastAsia="zh-CN"/>
              </w:rPr>
              <w:t>压面机、多功能切菜机、电磁大锅灶</w:t>
            </w:r>
            <w:r>
              <w:rPr>
                <w:rFonts w:hint="eastAsia" w:ascii="宋体" w:hAnsi="宋体" w:eastAsia="宋体" w:cs="宋体"/>
                <w:spacing w:val="0"/>
                <w:sz w:val="21"/>
                <w:szCs w:val="21"/>
              </w:rPr>
              <w:t>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无</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无</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服务过程</w:t>
                  </w:r>
                </w:p>
              </w:tc>
              <w:tc>
                <w:tcPr>
                  <w:tcW w:w="3665" w:type="dxa"/>
                </w:tcPr>
                <w:p>
                  <w:pPr>
                    <w:shd w:val="clear" w:color="auto" w:fill="C7DAF1" w:themeFill="text2" w:themeFillTint="32"/>
                    <w:jc w:val="left"/>
                  </w:pPr>
                  <w:r>
                    <w:rPr>
                      <w:rFonts w:hint="eastAsia" w:ascii="宋体" w:hAnsi="宋体" w:eastAsia="宋体" w:cs="宋体"/>
                      <w:spacing w:val="0"/>
                      <w:sz w:val="21"/>
                      <w:szCs w:val="21"/>
                    </w:rPr>
                    <w:t>食堂窗口服务过程</w:t>
                  </w:r>
                </w:p>
              </w:tc>
              <w:tc>
                <w:tcPr>
                  <w:tcW w:w="3265" w:type="dxa"/>
                </w:tcPr>
                <w:p>
                  <w:pPr>
                    <w:shd w:val="clear" w:color="auto" w:fill="C7DAF1" w:themeFill="text2" w:themeFillTint="32"/>
                    <w:jc w:val="left"/>
                  </w:pPr>
                  <w:r>
                    <w:rPr>
                      <w:rFonts w:hint="eastAsia"/>
                    </w:rPr>
                    <w:t>服务质量、服务时间、配餐数量等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eastAsia="宋体" w:cs="宋体"/>
                <w:spacing w:val="0"/>
                <w:sz w:val="21"/>
                <w:szCs w:val="21"/>
              </w:rPr>
              <w:t>食堂窗口服务过程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未进行能力确认，已开具不符合</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未进行能力确认，已开具不符合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2023年1月10日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2023年1月29日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人力资源□营销和市场</w:t>
            </w:r>
            <w:r>
              <w:rPr>
                <w:rFonts w:hint="eastAsia"/>
              </w:rPr>
              <w:sym w:font="Wingdings 2" w:char="0052"/>
            </w:r>
            <w:r>
              <w:rPr>
                <w:rFonts w:hint="eastAsia"/>
              </w:rPr>
              <w:t>生产□检验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pageBreakBefore w:val="0"/>
              <w:widowControl w:val="0"/>
              <w:kinsoku/>
              <w:wordWrap/>
              <w:overflowPunct/>
              <w:topLinePunct w:val="0"/>
              <w:autoSpaceDE/>
              <w:autoSpaceDN/>
              <w:bidi w:val="0"/>
              <w:spacing w:after="0" w:line="240" w:lineRule="auto"/>
              <w:jc w:val="left"/>
              <w:textAlignment w:val="auto"/>
              <w:rPr>
                <w:rFonts w:hint="eastAsia" w:ascii="宋体" w:hAnsi="宋体" w:eastAsia="宋体" w:cs="宋体"/>
                <w:b w:val="0"/>
                <w:spacing w:val="0"/>
                <w:sz w:val="21"/>
                <w:szCs w:val="21"/>
              </w:rPr>
            </w:pPr>
            <w:r>
              <w:rPr>
                <w:rFonts w:hint="eastAsia" w:ascii="宋体" w:hAnsi="宋体" w:eastAsia="宋体" w:cs="宋体"/>
                <w:b w:val="0"/>
                <w:spacing w:val="0"/>
                <w:sz w:val="21"/>
                <w:szCs w:val="21"/>
              </w:rPr>
              <w:t>卫生安全，质量为先；强化管理，持续改进；</w:t>
            </w:r>
          </w:p>
          <w:p>
            <w:pPr>
              <w:keepNext w:val="0"/>
              <w:keepLines w:val="0"/>
              <w:pageBreakBefore w:val="0"/>
              <w:widowControl w:val="0"/>
              <w:kinsoku/>
              <w:wordWrap/>
              <w:overflowPunct/>
              <w:topLinePunct w:val="0"/>
              <w:autoSpaceDE/>
              <w:autoSpaceDN/>
              <w:bidi w:val="0"/>
              <w:spacing w:after="0" w:line="240" w:lineRule="auto"/>
              <w:jc w:val="left"/>
              <w:textAlignment w:val="auto"/>
              <w:rPr>
                <w:rFonts w:hint="eastAsia" w:ascii="宋体" w:hAnsi="宋体" w:eastAsia="宋体" w:cs="宋体"/>
                <w:b w:val="0"/>
                <w:spacing w:val="0"/>
                <w:sz w:val="21"/>
                <w:szCs w:val="21"/>
              </w:rPr>
            </w:pPr>
            <w:r>
              <w:rPr>
                <w:rFonts w:hint="eastAsia" w:ascii="宋体" w:hAnsi="宋体" w:eastAsia="宋体" w:cs="宋体"/>
                <w:b w:val="0"/>
                <w:spacing w:val="0"/>
                <w:sz w:val="21"/>
                <w:szCs w:val="21"/>
              </w:rPr>
              <w:t>环保美观，结构合理，关爱环境，预防污染；</w:t>
            </w:r>
          </w:p>
          <w:p>
            <w:pPr>
              <w:shd w:val="clear" w:color="auto" w:fill="EBF1DE" w:themeFill="accent3" w:themeFillTint="32"/>
              <w:rPr>
                <w:u w:val="single"/>
              </w:rPr>
            </w:pPr>
            <w:r>
              <w:rPr>
                <w:rFonts w:hint="eastAsia" w:ascii="宋体" w:hAnsi="宋体" w:eastAsia="宋体" w:cs="宋体"/>
                <w:b w:val="0"/>
                <w:spacing w:val="0"/>
                <w:sz w:val="21"/>
                <w:szCs w:val="21"/>
              </w:rPr>
              <w:t>以人为本，关注安全，遵规守法，降低风险</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eastAsia="zh-CN"/>
              </w:rPr>
              <w:t>：</w:t>
            </w:r>
            <w:r>
              <w:rPr>
                <w:rFonts w:hint="eastAsia"/>
                <w:lang w:val="en-US" w:eastAsia="zh-CN"/>
              </w:rPr>
              <w:t>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固废分类回收率100%</w:t>
                  </w:r>
                </w:p>
              </w:tc>
              <w:tc>
                <w:tcPr>
                  <w:tcW w:w="3136" w:type="dxa"/>
                  <w:shd w:val="clear" w:color="auto" w:fill="auto"/>
                  <w:vAlign w:val="center"/>
                </w:tcPr>
                <w:p>
                  <w:pPr>
                    <w:shd w:val="clear" w:color="auto" w:fill="EBF1DE" w:themeFill="accent3" w:themeFillTint="32"/>
                    <w:rPr>
                      <w:lang w:val="en-GB"/>
                    </w:rPr>
                  </w:pPr>
                  <w:r>
                    <w:rPr>
                      <w:rFonts w:hint="eastAsia" w:ascii="宋体" w:hAnsi="宋体"/>
                      <w:lang w:val="en-US" w:eastAsia="zh-CN"/>
                    </w:rPr>
                    <w:t>分类收集，集中处理</w:t>
                  </w:r>
                </w:p>
              </w:tc>
              <w:tc>
                <w:tcPr>
                  <w:tcW w:w="1350" w:type="dxa"/>
                  <w:shd w:val="clear" w:color="auto" w:fill="auto"/>
                  <w:vAlign w:val="center"/>
                </w:tcPr>
                <w:p>
                  <w:pPr>
                    <w:shd w:val="clear" w:color="auto" w:fill="EBF1DE" w:themeFill="accent3" w:themeFillTint="32"/>
                    <w:rPr>
                      <w:lang w:val="en-GB"/>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油烟、油污投诉</w:t>
                  </w:r>
                  <w:r>
                    <w:rPr>
                      <w:rFonts w:hint="default" w:ascii="Times New Roman" w:hAnsi="Times New Roman" w:eastAsia="宋体" w:cs="Times New Roman"/>
                      <w:i w:val="0"/>
                      <w:iCs w:val="0"/>
                      <w:color w:val="000000"/>
                      <w:kern w:val="0"/>
                      <w:sz w:val="24"/>
                      <w:szCs w:val="24"/>
                      <w:u w:val="none"/>
                      <w:lang w:val="en-US" w:eastAsia="zh-CN" w:bidi="ar"/>
                    </w:rPr>
                    <w:t>/</w:t>
                  </w:r>
                  <w:r>
                    <w:rPr>
                      <w:rStyle w:val="27"/>
                      <w:lang w:val="en-US" w:eastAsia="zh-CN" w:bidi="ar"/>
                    </w:rPr>
                    <w:t>处罚次数为</w:t>
                  </w:r>
                  <w:r>
                    <w:rPr>
                      <w:rFonts w:hint="default" w:ascii="Times New Roman" w:hAnsi="Times New Roman" w:eastAsia="宋体" w:cs="Times New Roman"/>
                      <w:i w:val="0"/>
                      <w:iCs w:val="0"/>
                      <w:color w:val="000000"/>
                      <w:kern w:val="0"/>
                      <w:sz w:val="24"/>
                      <w:szCs w:val="24"/>
                      <w:u w:val="none"/>
                      <w:lang w:val="en-US" w:eastAsia="zh-CN" w:bidi="ar"/>
                    </w:rPr>
                    <w:t>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达标排放</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综合部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火灾事故为零</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火灾应急预案、消防培训</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2000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lang w:val="en-US" w:eastAsia="zh-CN"/>
              </w:rPr>
              <w:t>切肉机、切菜机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消防栓，灭火器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r>
                    <w:rPr>
                      <w:rFonts w:hint="eastAsia"/>
                      <w:lang w:eastAsia="zh-CN"/>
                    </w:rPr>
                    <w:t>、</w:t>
                  </w:r>
                  <w:r>
                    <w:rPr>
                      <w:rFonts w:hint="eastAsia"/>
                    </w:rPr>
                    <w:t>应急准备与响应</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2022年12月25日</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2022年12月30日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2023年1月10日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2023年1月29日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7.3</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7.4</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7.5</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8.1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8.2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技术□竞争□市场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Next w:val="0"/>
              <w:keepLines w:val="0"/>
              <w:pageBreakBefore w:val="0"/>
              <w:widowControl w:val="0"/>
              <w:kinsoku/>
              <w:wordWrap/>
              <w:overflowPunct/>
              <w:topLinePunct w:val="0"/>
              <w:autoSpaceDE/>
              <w:autoSpaceDN/>
              <w:bidi w:val="0"/>
              <w:spacing w:after="0" w:line="240" w:lineRule="auto"/>
              <w:jc w:val="left"/>
              <w:textAlignment w:val="auto"/>
              <w:rPr>
                <w:rFonts w:hint="eastAsia" w:ascii="宋体" w:hAnsi="宋体" w:eastAsia="宋体" w:cs="宋体"/>
                <w:b w:val="0"/>
                <w:spacing w:val="0"/>
                <w:sz w:val="21"/>
                <w:szCs w:val="21"/>
              </w:rPr>
            </w:pPr>
            <w:r>
              <w:rPr>
                <w:rFonts w:hint="eastAsia"/>
              </w:rPr>
              <w:t>最高管理者制定了文件化的职业健康安全管理体系方针：</w:t>
            </w:r>
            <w:r>
              <w:rPr>
                <w:rFonts w:hint="eastAsia" w:ascii="宋体" w:hAnsi="宋体" w:eastAsia="宋体" w:cs="宋体"/>
                <w:b w:val="0"/>
                <w:spacing w:val="0"/>
                <w:sz w:val="21"/>
                <w:szCs w:val="21"/>
              </w:rPr>
              <w:t>卫生安全，质量为先；强化管理，持续改进；</w:t>
            </w:r>
          </w:p>
          <w:p>
            <w:pPr>
              <w:keepNext w:val="0"/>
              <w:keepLines w:val="0"/>
              <w:pageBreakBefore w:val="0"/>
              <w:widowControl w:val="0"/>
              <w:kinsoku/>
              <w:wordWrap/>
              <w:overflowPunct/>
              <w:topLinePunct w:val="0"/>
              <w:autoSpaceDE/>
              <w:autoSpaceDN/>
              <w:bidi w:val="0"/>
              <w:spacing w:after="0" w:line="240" w:lineRule="auto"/>
              <w:jc w:val="left"/>
              <w:textAlignment w:val="auto"/>
              <w:rPr>
                <w:rFonts w:hint="eastAsia" w:ascii="宋体" w:hAnsi="宋体" w:eastAsia="宋体" w:cs="宋体"/>
                <w:b w:val="0"/>
                <w:spacing w:val="0"/>
                <w:sz w:val="21"/>
                <w:szCs w:val="21"/>
              </w:rPr>
            </w:pPr>
            <w:r>
              <w:rPr>
                <w:rFonts w:hint="eastAsia" w:ascii="宋体" w:hAnsi="宋体" w:eastAsia="宋体" w:cs="宋体"/>
                <w:b w:val="0"/>
                <w:spacing w:val="0"/>
                <w:sz w:val="21"/>
                <w:szCs w:val="21"/>
              </w:rPr>
              <w:t>环保美观，结构合理，关爱环境，预防污染；</w:t>
            </w:r>
          </w:p>
          <w:p>
            <w:r>
              <w:rPr>
                <w:rFonts w:hint="eastAsia" w:ascii="宋体" w:hAnsi="宋体" w:eastAsia="宋体" w:cs="宋体"/>
                <w:b w:val="0"/>
                <w:spacing w:val="0"/>
                <w:sz w:val="21"/>
                <w:szCs w:val="21"/>
              </w:rPr>
              <w:t>以人为本，关注安全，遵规守法，降低风险</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朱长红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办公过程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烹饪服务过程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A3"/>
            </w:r>
            <w:r>
              <w:rPr>
                <w:rFonts w:hint="eastAsia"/>
              </w:rPr>
              <w:t>噪声□粉尘□危险作业</w:t>
            </w:r>
            <w:r>
              <w:rPr>
                <w:rFonts w:hint="eastAsia"/>
              </w:rPr>
              <w:sym w:font="Wingdings 2" w:char="0052"/>
            </w:r>
            <w:r>
              <w:rPr>
                <w:rFonts w:hint="eastAsia"/>
              </w:rPr>
              <w:t>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eastAsia="zh-CN"/>
              </w:rPr>
              <w:t>：</w:t>
            </w:r>
            <w:r>
              <w:rPr>
                <w:rFonts w:hint="eastAsia"/>
                <w:lang w:val="en-US" w:eastAsia="zh-CN"/>
              </w:rPr>
              <w:t>食物中毒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w:t>
            </w:r>
            <w:r>
              <w:rPr>
                <w:rFonts w:hint="eastAsia"/>
              </w:rPr>
              <w:sym w:font="Wingdings 2" w:char="00A3"/>
            </w:r>
            <w:r>
              <w:rPr>
                <w:rFonts w:hint="eastAsia"/>
              </w:rPr>
              <w:t>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重伤以上事故为0，轻伤事故≤1次/月</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佩戴劳保用品，安全防护、做好培训，制定制度</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火灾事故为零</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宋体" w:hAnsi="宋体"/>
                      <w:lang w:val="en-US" w:eastAsia="zh-CN"/>
                    </w:rPr>
                    <w:t>火灾应急演练，消防培训</w:t>
                  </w:r>
                </w:p>
              </w:tc>
              <w:tc>
                <w:tcPr>
                  <w:tcW w:w="1350" w:type="dxa"/>
                  <w:shd w:val="clear" w:color="auto" w:fill="auto"/>
                  <w:vAlign w:val="center"/>
                </w:tcPr>
                <w:p>
                  <w:pPr>
                    <w:rPr>
                      <w:rFonts w:ascii="宋体" w:hAnsi="宋体"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jc w:val="center"/>
                    <w:rPr>
                      <w:rFonts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2000</w:t>
            </w:r>
            <w:r>
              <w:rPr>
                <w:rFonts w:hint="eastAsia"/>
              </w:rPr>
              <w:t>平方米；生产车间个；库房个；实验室个；</w:t>
            </w:r>
          </w:p>
          <w:p>
            <w:pPr>
              <w:rPr>
                <w:u w:val="single"/>
              </w:rPr>
            </w:pPr>
            <w:r>
              <w:rPr>
                <w:rFonts w:hint="eastAsia"/>
              </w:rPr>
              <w:t>主要生产设备有：</w:t>
            </w:r>
            <w:r>
              <w:rPr>
                <w:rFonts w:hint="eastAsia"/>
                <w:lang w:val="en-US" w:eastAsia="zh-CN"/>
              </w:rPr>
              <w:t>切肉机，蒸饭机</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w:t>
                  </w:r>
                  <w:r>
                    <w:rPr>
                      <w:rFonts w:hint="eastAsia"/>
                    </w:rPr>
                    <w:sym w:font="Wingdings 2" w:char="0052"/>
                  </w:r>
                  <w:r>
                    <w:rPr>
                      <w:rFonts w:hint="eastAsia"/>
                    </w:rPr>
                    <w:t>空间隔离□防暑降温用品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消防演练</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2022年12月25日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2022年12月30日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2023年1月10日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2023年1月29日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tabs>
          <w:tab w:val="left" w:pos="6069"/>
        </w:tabs>
        <w:spacing w:before="40" w:after="40"/>
        <w:rPr>
          <w:rFonts w:hint="eastAsia" w:eastAsia="微软雅黑"/>
          <w:sz w:val="20"/>
          <w:szCs w:val="20"/>
          <w:lang w:eastAsia="zh-CN"/>
        </w:rPr>
      </w:pPr>
      <w:r>
        <w:rPr>
          <w:rFonts w:hint="eastAsia" w:eastAsia="微软雅黑"/>
          <w:sz w:val="20"/>
          <w:szCs w:val="20"/>
          <w:lang w:eastAsia="zh-CN"/>
        </w:rPr>
        <w:tab/>
      </w: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16994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toc 3"/>
    <w:basedOn w:val="1"/>
    <w:next w:val="1"/>
    <w:qFormat/>
    <w:uiPriority w:val="0"/>
    <w:pPr>
      <w:ind w:left="840" w:leftChars="400"/>
      <w:jc w:val="both"/>
    </w:pPr>
    <w:rPr>
      <w:rFonts w:ascii="Calibri" w:hAnsi="Calibri" w:eastAsia="宋体" w:cs="Calibri"/>
      <w:iCs/>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 w:type="character" w:customStyle="1" w:styleId="26">
    <w:name w:val="font31"/>
    <w:basedOn w:val="11"/>
    <w:uiPriority w:val="0"/>
    <w:rPr>
      <w:rFonts w:hint="default" w:ascii="Times New Roman" w:hAnsi="Times New Roman" w:cs="Times New Roman"/>
      <w:color w:val="000000"/>
      <w:sz w:val="22"/>
      <w:szCs w:val="22"/>
      <w:u w:val="none"/>
    </w:rPr>
  </w:style>
  <w:style w:type="character" w:customStyle="1" w:styleId="27">
    <w:name w:val="font01"/>
    <w:basedOn w:val="1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18677</Words>
  <Characters>19465</Characters>
  <Lines>150</Lines>
  <Paragraphs>42</Paragraphs>
  <TotalTime>0</TotalTime>
  <ScaleCrop>false</ScaleCrop>
  <LinksUpToDate>false</LinksUpToDate>
  <CharactersWithSpaces>19586</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2023-02-08T04:22:14Z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2052-11.1.0.13012</vt:lpwstr>
  </property>
</Properties>
</file>