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毕节金悦餐饮服务有限公司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贵州省毕节市七星关区洪山街道拥军路31号毕节市民族中学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贵州省毕节市七星关区洪山街道拥军路31号毕节市民族中学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匡丽春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18508576665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2773885009@qq.com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匡丽春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17588891009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0127-2023-QEO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</w:t>
            </w:r>
            <w:bookmarkStart w:id="36" w:name="_GoBack"/>
            <w:r>
              <w:rPr>
                <w:sz w:val="20"/>
              </w:rPr>
              <w:t>热食类食品</w:t>
            </w:r>
            <w:bookmarkEnd w:id="36"/>
            <w:r>
              <w:rPr>
                <w:sz w:val="20"/>
              </w:rPr>
              <w:t>制售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E：热食类食品制售所涉及场所的相关环境管理活动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O：热食类食品制售所涉及场所的相关职业健康安全管理活动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2023年02月04日 至2023年02月07日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4.0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徐不丁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毕节腾龙凯悦酒店管理有限公司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18984788900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徐不丁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毕节腾龙凯悦酒店管理有限公司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Q:30.05.00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E:30.05.00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ISC-JSZJ-605</w:t>
            </w:r>
          </w:p>
          <w:p>
            <w:pPr>
              <w:jc w:val="center"/>
            </w:pPr>
            <w:r>
              <w:rPr>
                <w:sz w:val="20"/>
                <w:lang w:val="de-DE"/>
              </w:rPr>
              <w:t>ISC-JSZJ-605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18984788900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2023年2月4日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2023年2月4日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5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6.1应对风险和机遇的措施6.1.4措施的策划；6.2目标及其实现的策划；7.1资源；9.3管理评审；10.1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范围的确认，资质的确认，法律法规执行情况，质量环境安全投诉或事故/政府主管部门监督抽查情况，一阶段审核不符合的验证。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7.1.6组织知识；7.2能力；7.3意识；7.4沟通；7.5文件化信息；9.1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.3分析与评价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；9.2内部审核；10.2不符合和纠正措施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6.2目标及其实现的策划；7.2能力；7.3意识；7.4信息和沟通；7.5文件化信息；8.1运行策划和控制；8.2应急准备和响应；9.1监视、测量、分析与评估；9.1.2法律法规要求和其他要求的合规性评价；9.2内部审核；10.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8：30-16：00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22：00-23：00（夜间宵夜餐现场查看）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餐饮部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5.3岗位/职责/权限；6.2质量目标及其实现的策划；7.1.3基础设施；7.1.4运作环境；7.1.5监视和测量资源； 8.1运行策划和控制；8.2产品和服务的要求；8.3设计开发控制；8.4外部提供供方的控制； 8.5.1生产和服务提供的控制； 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8.5.3顾客和外部供方的财产；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8.5.4防护；8.5.5交付后的活动；8.5.6更改控制；8.6产品和服务放行；8.7不合格输出的控制；9.1.2顾客满意；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8：00-16：00</w:t>
            </w:r>
          </w:p>
        </w:tc>
        <w:tc>
          <w:tcPr>
            <w:tcW w:w="6663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  <w:t>继续之前未完成的工作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注：12：00-12：30为午餐时间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96A3F05"/>
    <w:rsid w:val="5B7E2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2431</Words>
  <Characters>3541</Characters>
  <Lines>37</Lines>
  <Paragraphs>10</Paragraphs>
  <TotalTime>5</TotalTime>
  <ScaleCrop>false</ScaleCrop>
  <LinksUpToDate>false</LinksUpToDate>
  <CharactersWithSpaces>3610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2023-02-06T09:10:51Z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