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902"/>
        <w:gridCol w:w="448"/>
        <w:gridCol w:w="257"/>
        <w:gridCol w:w="691"/>
        <w:gridCol w:w="1086"/>
        <w:gridCol w:w="330"/>
        <w:gridCol w:w="86"/>
        <w:gridCol w:w="1004"/>
        <w:gridCol w:w="333"/>
        <w:gridCol w:w="341"/>
        <w:gridCol w:w="447"/>
        <w:gridCol w:w="471"/>
        <w:gridCol w:w="104"/>
        <w:gridCol w:w="256"/>
        <w:gridCol w:w="63"/>
        <w:gridCol w:w="71"/>
        <w:gridCol w:w="84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重庆同诚房地产土地资产评估有限公司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9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重庆市北部新区星光大道62号（海王星科技大厦D区9楼3号）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9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重庆市北部新区星光大道62号（海王星科技大厦D区9楼3号）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瞿敬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13883644037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13314519@qq.com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最高管理者</w:t>
            </w:r>
          </w:p>
        </w:tc>
        <w:tc>
          <w:tcPr>
            <w:tcW w:w="3714" w:type="dxa"/>
            <w:gridSpan w:val="6"/>
            <w:vAlign w:val="center"/>
          </w:tcPr>
          <w:p>
            <w:pPr>
              <w:rPr>
                <w:highlight w:val="none"/>
              </w:rPr>
            </w:pPr>
            <w:bookmarkStart w:id="6" w:name="最高管理者"/>
            <w:bookmarkEnd w:id="6"/>
            <w:r>
              <w:rPr>
                <w:sz w:val="21"/>
                <w:szCs w:val="21"/>
                <w:highlight w:val="none"/>
              </w:rPr>
              <w:t>瞿敬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6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0016-2023-QEO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1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9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9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9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9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25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资产评估、房地产估价（一级）、土地评估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资产评估、房地产估价（一级）、土地评估所涉及场所的相关环境管理活动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资产评估、房地产估价（一级）、土地评估所涉及场所的相关职业健康安全管理活动</w:t>
            </w:r>
            <w:bookmarkEnd w:id="24"/>
          </w:p>
        </w:tc>
        <w:tc>
          <w:tcPr>
            <w:tcW w:w="96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28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32.13.01;34.06.00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32.13.01;34.06.00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32.13.01;34.06.00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9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GB/T45001-2020/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OHSMS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2023年02月03日 上午至2023年02月04日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O:32.13.01,34.06.00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O:32.13.01,34.06.00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E:32.13.01,34.06.00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O:32.13.01,34.06.00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程蕾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重庆华川土地房地产估价与资产评估有限责任公司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Q:32.13.01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E:32.13.01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O:32.13.01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13657672200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2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0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5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3" w:type="dxa"/>
            <w:gridSpan w:val="6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技术专家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程蕾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重庆华川土地房地产估价与资产评估有限责任公司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经理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Q:32.13.01</w:t>
            </w:r>
          </w:p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E:32.13.01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O:32.13.01</w:t>
            </w:r>
          </w:p>
        </w:tc>
        <w:tc>
          <w:tcPr>
            <w:tcW w:w="1403" w:type="dxa"/>
            <w:gridSpan w:val="6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13657672200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90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vAlign w:val="center"/>
          </w:tcPr>
          <w:p/>
        </w:tc>
        <w:tc>
          <w:tcPr>
            <w:tcW w:w="1403" w:type="dxa"/>
            <w:gridSpan w:val="6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20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95250</wp:posOffset>
                  </wp:positionV>
                  <wp:extent cx="902970" cy="396240"/>
                  <wp:effectExtent l="0" t="0" r="11430" b="10160"/>
                  <wp:wrapNone/>
                  <wp:docPr id="1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94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34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36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08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94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2023年02月0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2023年02月0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341" w:type="dxa"/>
            <w:gridSpan w:val="5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2023年02月0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200"/>
        <w:gridCol w:w="844"/>
        <w:gridCol w:w="6711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7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99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2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color w:val="auto"/>
              </w:rPr>
            </w:pPr>
          </w:p>
          <w:p>
            <w:pPr>
              <w:snapToGrid w:val="0"/>
              <w:spacing w:line="280" w:lineRule="exact"/>
              <w:jc w:val="center"/>
              <w:rPr>
                <w:color w:val="auto"/>
              </w:rPr>
            </w:pPr>
          </w:p>
          <w:p>
            <w:pPr>
              <w:snapToGrid w:val="0"/>
              <w:spacing w:line="280" w:lineRule="exact"/>
              <w:jc w:val="center"/>
              <w:rPr>
                <w:color w:val="auto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555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99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4" w:hRule="atLeast"/>
          <w:jc w:val="center"/>
        </w:trPr>
        <w:tc>
          <w:tcPr>
            <w:tcW w:w="62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餐12:00-12:30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6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QMS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10.2不符合和纠正措施；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10.3持续改进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EMS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7.5.1文件化信息总则；9.1监视、测量、分析和评价；9.3管理评审；10.1改进 总则；10.2持续改进。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一阶段问题验证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997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1" w:hRule="atLeast"/>
          <w:jc w:val="center"/>
        </w:trPr>
        <w:tc>
          <w:tcPr>
            <w:tcW w:w="62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餐12:00-12:30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4" w:type="dxa"/>
          </w:tcPr>
          <w:p>
            <w:pPr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Hans"/>
              </w:rPr>
              <w:t>综合部</w:t>
            </w:r>
          </w:p>
        </w:tc>
        <w:tc>
          <w:tcPr>
            <w:tcW w:w="6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5.3岗位/职责 /权限；6.2质量目标及其实现的策划；7.1.2人员；7.2能力；7.3意识；7.4沟通；7.5文件化信息；9.2内部审核；10.2不符合和纠正措施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组织的角色、职责和权限;6.2目标及其达成的策划；6.1.2环境因素；6.1.3合规义务；7.1资源；7.2能力；7.3意识；7.4沟通；7.5文件化信息；8.1运行策划和控制；8.2应急准备和响应；9.1监视、测量、分析与评估；9.1.2符合性评估；9.2内部审核；10.2不符合和纠正措施/EMS运行控制相关财务支出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10.2不符合和纠正措施/OHSMS运行控制财务支出证据。</w:t>
            </w:r>
          </w:p>
        </w:tc>
        <w:tc>
          <w:tcPr>
            <w:tcW w:w="997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餐12:00-12:30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4" w:type="dxa"/>
          </w:tcPr>
          <w:p>
            <w:pP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评估部</w:t>
            </w:r>
          </w:p>
        </w:tc>
        <w:tc>
          <w:tcPr>
            <w:tcW w:w="6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QMS: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36" w:name="_GoBack"/>
            <w:bookmarkEnd w:id="36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7.1.3基础设施；7.1.4过程运行环境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8.3设计开发控制；8.5.1生产和服务提供的控制；8.5.2标识和可追溯性；8.5.3顾客或外部供方的财产；8.5.4防护；8.5.5交付后的活动；8.5.6更改控制；</w:t>
            </w:r>
          </w:p>
        </w:tc>
        <w:tc>
          <w:tcPr>
            <w:tcW w:w="99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张心、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程蕾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技术专家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6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44" w:type="dxa"/>
          </w:tcPr>
          <w:p>
            <w:pP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评估部</w:t>
            </w:r>
          </w:p>
        </w:tc>
        <w:tc>
          <w:tcPr>
            <w:tcW w:w="6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QMS: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EMS: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5.3组织的角色、职责和权限；6.1.2危险源辨识和职业安全风险评价；6.2目标及其实现的策划8.1运行策划和控制；8.2应急准备和响应；</w:t>
            </w:r>
          </w:p>
        </w:tc>
        <w:tc>
          <w:tcPr>
            <w:tcW w:w="99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62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8:30-11:30</w:t>
            </w:r>
          </w:p>
        </w:tc>
        <w:tc>
          <w:tcPr>
            <w:tcW w:w="844" w:type="dxa"/>
            <w:vMerge w:val="restart"/>
          </w:tcPr>
          <w:p>
            <w:pP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标准监管部</w:t>
            </w:r>
          </w:p>
        </w:tc>
        <w:tc>
          <w:tcPr>
            <w:tcW w:w="6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QMS: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7.1.5监视和测量设备；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8.6产品和服务放行；8.7不合格输出控制；</w:t>
            </w:r>
          </w:p>
        </w:tc>
        <w:tc>
          <w:tcPr>
            <w:tcW w:w="99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程蕾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技术专家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6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4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99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8:30-11:30</w:t>
            </w:r>
          </w:p>
        </w:tc>
        <w:tc>
          <w:tcPr>
            <w:tcW w:w="844" w:type="dxa"/>
          </w:tcPr>
          <w:p>
            <w:pP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评估部</w:t>
            </w:r>
          </w:p>
        </w:tc>
        <w:tc>
          <w:tcPr>
            <w:tcW w:w="6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QMS: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8.2产品和服务的要求；9.1.2顾客满意；</w:t>
            </w:r>
          </w:p>
        </w:tc>
        <w:tc>
          <w:tcPr>
            <w:tcW w:w="99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6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8:30-11:30</w:t>
            </w:r>
          </w:p>
        </w:tc>
        <w:tc>
          <w:tcPr>
            <w:tcW w:w="844" w:type="dxa"/>
          </w:tcPr>
          <w:p>
            <w:pP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6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QMS: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8.4外部提供供方的控制；</w:t>
            </w:r>
          </w:p>
        </w:tc>
        <w:tc>
          <w:tcPr>
            <w:tcW w:w="99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2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7555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审核组内部沟通,并与受审核方沟通</w:t>
            </w:r>
          </w:p>
        </w:tc>
        <w:tc>
          <w:tcPr>
            <w:tcW w:w="997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2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7555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997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41B67DC"/>
    <w:rsid w:val="09DB1C02"/>
    <w:rsid w:val="0B0D6E3C"/>
    <w:rsid w:val="0C124D6B"/>
    <w:rsid w:val="1DB57DAF"/>
    <w:rsid w:val="20704612"/>
    <w:rsid w:val="232C577D"/>
    <w:rsid w:val="36364D02"/>
    <w:rsid w:val="3D701524"/>
    <w:rsid w:val="46966CED"/>
    <w:rsid w:val="4B315A3D"/>
    <w:rsid w:val="53762EE3"/>
    <w:rsid w:val="5463135D"/>
    <w:rsid w:val="55054108"/>
    <w:rsid w:val="57CA7E3B"/>
    <w:rsid w:val="5A370EC4"/>
    <w:rsid w:val="6B64613C"/>
    <w:rsid w:val="6D2A3F0E"/>
    <w:rsid w:val="72F43E61"/>
    <w:rsid w:val="762842DC"/>
    <w:rsid w:val="772C162A"/>
    <w:rsid w:val="775E76F8"/>
    <w:rsid w:val="7AF02C32"/>
    <w:rsid w:val="7F6D29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2671</Words>
  <Characters>4113</Characters>
  <Lines>37</Lines>
  <Paragraphs>10</Paragraphs>
  <TotalTime>1</TotalTime>
  <ScaleCrop>false</ScaleCrop>
  <LinksUpToDate>false</LinksUpToDate>
  <CharactersWithSpaces>4178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2023-02-03T05:39:01Z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