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河北镕诚科技股份公司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河北省石家庄市藁城区南营镇南营村村南500米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河北省石家庄市裕华区祥泰路66号中冶盛世国际广场商务楼A座1201室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秦军虎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15833951823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676413611@qq.com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0684-2020-QJEO-2023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EC：资质范围内特种工程（特种起重设备吊装）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E：资质范围内特种工程（特种起重设备吊装）所涉及场所的相关环境管理活动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O：资质范围内特种工程（特种起重设备的吊装）所涉及场所相关的职业健康安全管理活动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EC：28.09.02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E：28.09.02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O：28.09.02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GB/T45001-2020/ISO45001：2018标准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Ansi="宋体"/>
                <w:bCs/>
                <w:color w:val="000000"/>
                <w:sz w:val="21"/>
                <w:szCs w:val="21"/>
              </w:rPr>
              <w:t>CCWY</w:t>
            </w:r>
            <w:r>
              <w:rPr>
                <w:rFonts w:hAnsi="宋体"/>
                <w:color w:val="000000"/>
                <w:sz w:val="21"/>
                <w:szCs w:val="21"/>
              </w:rPr>
              <w:t>/ Q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>（J）</w:t>
            </w:r>
            <w:r>
              <w:rPr>
                <w:rFonts w:hAnsi="宋体"/>
                <w:color w:val="000000"/>
                <w:sz w:val="21"/>
                <w:szCs w:val="21"/>
              </w:rPr>
              <w:t>ES-A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>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2023年02月01日 上午至2023年02月04日 上午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3.5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EC:28.09.02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E:28.09.02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O:28.09.02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  <w:r>
        <w:drawing>
          <wp:inline distT="0" distB="0" distL="114300" distR="114300">
            <wp:extent cx="5567045" cy="5263515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52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28" w:name="_GoBack"/>
      <w:bookmarkEnd w:id="28"/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1"/>
        <w:gridCol w:w="996"/>
        <w:gridCol w:w="3859"/>
        <w:gridCol w:w="2148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8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02-01</w:t>
            </w: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-09:00</w:t>
            </w:r>
          </w:p>
        </w:tc>
        <w:tc>
          <w:tcPr>
            <w:tcW w:w="996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859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14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996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859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问题整改情况的确认；事故事件及起处理情况，质量、环境安全监测情况、使用情况等</w:t>
            </w: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QEO: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4.1/4.2/4.3/4.4/5.1/5.2/5.3/6.1/6.2/7.1/9.1.1/9.3/10.1/10.3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EC: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3.2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3.3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3.4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12.1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12.4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12.5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Q:6.3</w:t>
            </w: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996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综合部（含财务）</w:t>
            </w:r>
          </w:p>
        </w:tc>
        <w:tc>
          <w:tcPr>
            <w:tcW w:w="3859" w:type="dxa"/>
            <w:shd w:val="clear" w:color="auto" w:fill="F2DCDC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的岗位、职责权限；目标、方案；环境因素/危险源识别评价；文件化信息；文件总则/管理手册、文件和记录控制；人员、组织知识；能力；意识；沟通；能力、培训和意识；信息交流、沟通参与和协商；运行控制；应急准备和响应；合规义务；法律法规要求；绩效的监视和测量；合规性评价；内部审核；事件、不合格及纠正和预防措施控制</w:t>
            </w:r>
          </w:p>
        </w:tc>
        <w:tc>
          <w:tcPr>
            <w:tcW w:w="2148" w:type="dxa"/>
            <w:shd w:val="clear" w:color="auto" w:fill="F2DCDC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EO:5.3/6.2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/7.2/7.3/7.4/7.5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/9.2/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10.2</w:t>
            </w:r>
          </w:p>
          <w:p>
            <w:pPr>
              <w:pStyle w:val="2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7.1.2/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7.1.6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/9.1.3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EC: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3.2.3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12.1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12.2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12.3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EO:6.1.2/8.1/8.2/9.1.2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O:5.4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37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02-02</w:t>
            </w:r>
          </w:p>
        </w:tc>
        <w:tc>
          <w:tcPr>
            <w:tcW w:w="1401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08:30-17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:00</w:t>
            </w:r>
          </w:p>
        </w:tc>
        <w:tc>
          <w:tcPr>
            <w:tcW w:w="996" w:type="dxa"/>
            <w:shd w:val="clear" w:color="auto" w:fill="C7DAF1" w:themeFill="text2" w:themeFillTint="32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/机械部</w:t>
            </w:r>
          </w:p>
        </w:tc>
        <w:tc>
          <w:tcPr>
            <w:tcW w:w="385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组织的岗位、职责权限；目标、方案；环境因素/危险源识别评价；基础设施；运行环境；监视和测量资源；运行的策划和控制；产品和服务的设计和开发；生产和服务控制；产品和服务的放行；不合格品的控制；运行控制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应急准备和响应</w:t>
            </w:r>
          </w:p>
        </w:tc>
        <w:tc>
          <w:tcPr>
            <w:tcW w:w="214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:5.3/6.2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Q: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7.1.3/7.1.4/7.1.5/8.1/8.3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/8.4/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8.5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/8/7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EC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:4.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/3.2/7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.1/7.2/7.3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/8.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1/8.3/8.4/8.5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/9/10/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11.1/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12.5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:6.1.2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/8.1/8.2</w:t>
            </w:r>
          </w:p>
        </w:tc>
        <w:tc>
          <w:tcPr>
            <w:tcW w:w="93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02-03</w:t>
            </w:r>
          </w:p>
        </w:tc>
        <w:tc>
          <w:tcPr>
            <w:tcW w:w="1401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:00</w:t>
            </w:r>
          </w:p>
        </w:tc>
        <w:tc>
          <w:tcPr>
            <w:tcW w:w="99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在建项目（与总部往返2小时车程）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385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组织的岗位、职责权限；目标、方案；环境因素/危险源识别评价；基础设施；运行环境；监视和测量资源；运行的策划和控制；产品和服务的设计和开发；生产和服务控制（在建）；产品和服务的放行；不合格品的控制；运行控制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应急准备和响应</w:t>
            </w:r>
          </w:p>
        </w:tc>
        <w:tc>
          <w:tcPr>
            <w:tcW w:w="214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:5.3/6.2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Q: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7.1.3/7.1.4/7.1.5/8.1/8.3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8.5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/8.6/8/7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EC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:4.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/3.2/7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.3/7.4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/8.3/8.4/8.5/9/10/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11.1/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12.5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:6.1.2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/8.1/8.2</w:t>
            </w:r>
          </w:p>
        </w:tc>
        <w:tc>
          <w:tcPr>
            <w:tcW w:w="937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02-04</w:t>
            </w:r>
          </w:p>
        </w:tc>
        <w:tc>
          <w:tcPr>
            <w:tcW w:w="1401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08: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996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商务部</w:t>
            </w:r>
          </w:p>
        </w:tc>
        <w:tc>
          <w:tcPr>
            <w:tcW w:w="385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组织的岗位、职责权限；目标、方案；环境因素/危险源识别评价；产品和服务要求；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运行控制；应急准备和响应；</w:t>
            </w:r>
          </w:p>
        </w:tc>
        <w:tc>
          <w:tcPr>
            <w:tcW w:w="2148" w:type="dxa"/>
            <w:shd w:val="clear" w:color="auto" w:fill="C7DAF1" w:themeFill="tex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EO:5.3/6.2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Q:8.2/9.1.2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EC: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3.2.3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6.1.2/8.1/8.2</w:t>
            </w:r>
          </w:p>
        </w:tc>
        <w:tc>
          <w:tcPr>
            <w:tcW w:w="93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-11:30</w:t>
            </w:r>
          </w:p>
        </w:tc>
        <w:tc>
          <w:tcPr>
            <w:tcW w:w="996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59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审核组整理资料和管代沟通</w:t>
            </w:r>
          </w:p>
        </w:tc>
        <w:tc>
          <w:tcPr>
            <w:tcW w:w="214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996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59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14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996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59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午餐休息时间</w:t>
            </w:r>
          </w:p>
        </w:tc>
        <w:tc>
          <w:tcPr>
            <w:tcW w:w="214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88A533E"/>
    <w:rsid w:val="3D77377B"/>
    <w:rsid w:val="4B6058C3"/>
    <w:rsid w:val="4DCB10DD"/>
    <w:rsid w:val="566815FE"/>
    <w:rsid w:val="600E1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1571</Words>
  <Characters>2647</Characters>
  <Lines>37</Lines>
  <Paragraphs>10</Paragraphs>
  <TotalTime>15</TotalTime>
  <ScaleCrop>false</ScaleCrop>
  <LinksUpToDate>false</LinksUpToDate>
  <CharactersWithSpaces>2683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2023-02-04T09:33:56Z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