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0110-2023-Q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沧州锦宁方凯五金制品有限公司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pPr>
    </w:p>
    <w:p>
      <w:pPr>
        <w:pStyle w:val="11"/>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沧州锦宁方凯五金制品有限公司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河北省沧州市黄骅市海华大街北汽产业园院内3号厂房</w:t>
            </w:r>
            <w:bookmarkEnd w:id="6"/>
          </w:p>
        </w:tc>
        <w:tc>
          <w:tcPr>
            <w:tcW w:w="1242" w:type="dxa"/>
            <w:vMerge w:val="restart"/>
            <w:vAlign w:val="center"/>
          </w:tcPr>
          <w:p>
            <w:r>
              <w:rPr>
                <w:rFonts w:hint="eastAsia"/>
              </w:rPr>
              <w:t>邮编</w:t>
            </w:r>
          </w:p>
        </w:tc>
        <w:tc>
          <w:tcPr>
            <w:tcW w:w="1771" w:type="dxa"/>
          </w:tcPr>
          <w:p>
            <w:bookmarkStart w:id="7" w:name="注册邮编"/>
            <w:r>
              <w:t>061100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河北省沧州市黄骅市海华大街北汽产业园院内3号厂房</w:t>
            </w:r>
            <w:bookmarkEnd w:id="8"/>
          </w:p>
        </w:tc>
        <w:tc>
          <w:tcPr>
            <w:tcW w:w="1242" w:type="dxa"/>
            <w:vMerge w:val="continue"/>
            <w:vAlign w:val="center"/>
          </w:tcPr>
          <w:p/>
        </w:tc>
        <w:tc>
          <w:tcPr>
            <w:tcW w:w="1771" w:type="dxa"/>
          </w:tcPr>
          <w:p>
            <w:bookmarkStart w:id="9" w:name="办公邮编"/>
            <w:r>
              <w:t>061100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张良贺</w:t>
            </w:r>
            <w:bookmarkEnd w:id="10"/>
          </w:p>
        </w:tc>
        <w:tc>
          <w:tcPr>
            <w:tcW w:w="1313" w:type="dxa"/>
            <w:vAlign w:val="center"/>
          </w:tcPr>
          <w:p>
            <w:r>
              <w:rPr>
                <w:rFonts w:hint="eastAsia"/>
              </w:rPr>
              <w:t>电话.</w:t>
            </w:r>
          </w:p>
        </w:tc>
        <w:tc>
          <w:tcPr>
            <w:tcW w:w="2180" w:type="dxa"/>
            <w:vAlign w:val="center"/>
          </w:tcPr>
          <w:p>
            <w:bookmarkStart w:id="11" w:name="联系人电话"/>
            <w:r>
              <w:t>15733742777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胡玉通</w:t>
            </w:r>
            <w:bookmarkEnd w:id="13"/>
          </w:p>
        </w:tc>
        <w:tc>
          <w:tcPr>
            <w:tcW w:w="1313" w:type="dxa"/>
            <w:vAlign w:val="center"/>
          </w:tcPr>
          <w:p>
            <w:r>
              <w:rPr>
                <w:rFonts w:hint="eastAsia"/>
              </w:rPr>
              <w:t>管理者代表</w:t>
            </w:r>
          </w:p>
        </w:tc>
        <w:tc>
          <w:tcPr>
            <w:tcW w:w="2180" w:type="dxa"/>
          </w:tcPr>
          <w:p>
            <w:bookmarkStart w:id="14" w:name="管理者代表"/>
            <w:r>
              <w:t>张良贺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4"/>
                <w:szCs w:val="24"/>
              </w:rPr>
            </w:pPr>
            <w:r>
              <w:rPr>
                <w:rFonts w:hint="eastAsia" w:ascii="楷体" w:hAnsi="楷体" w:eastAsia="楷体" w:cs="楷体"/>
                <w:sz w:val="24"/>
                <w:szCs w:val="24"/>
              </w:rPr>
              <w:t>生产流程：采购---切割----冲孔---焊接螺母----镀锌（外包）----焊接钢筋---打包检验--入库</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w:t>
            </w:r>
            <w:r>
              <w:rPr>
                <w:rFonts w:hint="eastAsia"/>
                <w:lang w:val="en-US" w:eastAsia="zh-CN"/>
              </w:rPr>
              <w:t>2</w:t>
            </w:r>
            <w:r>
              <w:rPr>
                <w:rFonts w:hint="eastAsia"/>
              </w:rPr>
              <w:t>日 上午至2023年02月0</w:t>
            </w:r>
            <w:r>
              <w:rPr>
                <w:rFonts w:hint="eastAsia"/>
                <w:lang w:val="en-US" w:eastAsia="zh-CN"/>
              </w:rPr>
              <w:t>3</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20"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□网络□智能手机□手持设备□笔记本电脑□台式电脑□无人机□摄像机□可穿戴技术</w:t>
            </w:r>
            <w:r>
              <w:rPr>
                <w:rFonts w:hint="eastAsia" w:ascii="宋体"/>
                <w:b/>
                <w:color w:val="0000FF"/>
                <w:szCs w:val="21"/>
              </w:rPr>
              <w:sym w:font="Wingdings 2" w:char="00A3"/>
            </w:r>
            <w:r>
              <w:rPr>
                <w:rFonts w:hint="eastAsia" w:ascii="宋体"/>
                <w:b/>
                <w:color w:val="0000FF"/>
                <w:szCs w:val="21"/>
              </w:rPr>
              <w:t>人工智能□其他</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b/>
                <w:szCs w:val="21"/>
              </w:rPr>
              <w:t>五金产品（光伏地桩）的加工</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17.10.02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91"/>
        <w:gridCol w:w="12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91" w:type="dxa"/>
            <w:shd w:val="clear" w:color="auto" w:fill="F3F3F3"/>
            <w:tcMar>
              <w:left w:w="57" w:type="dxa"/>
              <w:right w:w="57" w:type="dxa"/>
            </w:tcMar>
          </w:tcPr>
          <w:p>
            <w:r>
              <w:rPr>
                <w:rFonts w:hint="eastAsia"/>
              </w:rPr>
              <w:t>审核范围（产品和过程）</w:t>
            </w:r>
          </w:p>
          <w:p/>
          <w:p/>
        </w:tc>
        <w:tc>
          <w:tcPr>
            <w:tcW w:w="12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沧州锦宁方凯五金制品有限公司</w:t>
            </w:r>
          </w:p>
        </w:tc>
        <w:tc>
          <w:tcPr>
            <w:tcW w:w="2267" w:type="dxa"/>
          </w:tcPr>
          <w:p>
            <w:pPr>
              <w:rPr>
                <w:lang w:val="de-DE" w:eastAsia="ja-JP"/>
              </w:rPr>
            </w:pPr>
            <w:r>
              <w:rPr>
                <w:sz w:val="21"/>
                <w:szCs w:val="21"/>
              </w:rPr>
              <w:t>河北省沧州市黄骅市海华大街北汽产业园院内3号厂房</w:t>
            </w:r>
          </w:p>
        </w:tc>
        <w:tc>
          <w:tcPr>
            <w:tcW w:w="571" w:type="dxa"/>
            <w:vAlign w:val="center"/>
          </w:tcPr>
          <w:p>
            <w:pPr>
              <w:rPr>
                <w:rFonts w:hint="default" w:eastAsia="宋体"/>
                <w:lang w:val="en-US" w:eastAsia="zh-CN"/>
              </w:rPr>
            </w:pPr>
            <w:r>
              <w:rPr>
                <w:rFonts w:hint="eastAsia"/>
                <w:lang w:val="en-US" w:eastAsia="zh-CN"/>
              </w:rPr>
              <w:t>30</w:t>
            </w:r>
          </w:p>
        </w:tc>
        <w:tc>
          <w:tcPr>
            <w:tcW w:w="2191" w:type="dxa"/>
            <w:vAlign w:val="center"/>
          </w:tcPr>
          <w:p>
            <w:pPr>
              <w:rPr>
                <w:rFonts w:ascii="Times New Roman" w:hAnsi="Times New Roman" w:eastAsia="宋体" w:cs="Times New Roman"/>
                <w:sz w:val="21"/>
                <w:szCs w:val="21"/>
                <w:lang w:eastAsia="ja-JP"/>
              </w:rPr>
            </w:pPr>
            <w:r>
              <w:rPr>
                <w:rFonts w:hint="eastAsia" w:ascii="Times New Roman" w:hAnsi="Times New Roman" w:eastAsia="宋体" w:cs="Times New Roman"/>
                <w:sz w:val="21"/>
                <w:szCs w:val="21"/>
              </w:rPr>
              <w:t>五金产品（光伏地桩）的加工</w:t>
            </w:r>
          </w:p>
        </w:tc>
        <w:tc>
          <w:tcPr>
            <w:tcW w:w="1281" w:type="dxa"/>
            <w:vAlign w:val="center"/>
          </w:tcPr>
          <w:p>
            <w:pPr>
              <w:rPr>
                <w:rFonts w:ascii="Times New Roman" w:hAnsi="Times New Roman" w:eastAsia="宋体" w:cs="Times New Roman"/>
                <w:sz w:val="21"/>
                <w:szCs w:val="21"/>
                <w:lang w:eastAsia="ja-JP"/>
              </w:rPr>
            </w:pPr>
            <w:r>
              <w:rPr>
                <w:rFonts w:hint="eastAsia" w:ascii="Times New Roman" w:hAnsi="Times New Roman" w:eastAsia="宋体" w:cs="Times New Roman"/>
                <w:sz w:val="21"/>
                <w:szCs w:val="21"/>
                <w:lang w:eastAsia="ja-JP"/>
              </w:rPr>
              <w:t>GB/T1900-2016/ISO9001:2015</w:t>
            </w:r>
          </w:p>
        </w:tc>
        <w:tc>
          <w:tcPr>
            <w:tcW w:w="668" w:type="dxa"/>
            <w:shd w:val="clear" w:color="auto" w:fill="FFFFFF"/>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sz w:val="21"/>
                <w:szCs w:val="21"/>
              </w:rPr>
              <w:t>河北省沧州市黄骅市海华大街北汽产业园院内3号厂房</w:t>
            </w: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同二阶段一起整改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b/>
                <w:szCs w:val="21"/>
              </w:rPr>
              <w:t>五金产品（光伏地桩）的加工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805815" cy="289560"/>
                  <wp:effectExtent l="0" t="0" r="6985" b="254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805815" cy="289560"/>
                          </a:xfrm>
                          <a:prstGeom prst="rect">
                            <a:avLst/>
                          </a:prstGeom>
                        </pic:spPr>
                      </pic:pic>
                    </a:graphicData>
                  </a:graphic>
                </wp:inline>
              </w:drawing>
            </w:r>
          </w:p>
          <w:p/>
        </w:tc>
        <w:tc>
          <w:tcPr>
            <w:tcW w:w="2764" w:type="dxa"/>
            <w:tcMar>
              <w:left w:w="113" w:type="dxa"/>
            </w:tcMar>
          </w:tcPr>
          <w:p>
            <w:pPr>
              <w:rPr>
                <w:rFonts w:hint="eastAsia"/>
              </w:rPr>
            </w:pPr>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2023.2.14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rPr>
                      <w:rFonts w:hint="eastAsia" w:eastAsia="宋体"/>
                      <w:lang w:val="en-US" w:eastAsia="zh-CN"/>
                    </w:rPr>
                  </w:pPr>
                  <w:r>
                    <w:rPr>
                      <w:rFonts w:hint="eastAsia"/>
                    </w:rPr>
                    <w:t>良好的使用感受</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u w:val="single"/>
              </w:rPr>
              <w:t xml:space="preserve"> 质量第一，顾客至上；诚信经营，不断改进。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对市场需要产品的发展趋势判断失误。客户要求识别不完整。未能确保能够满足客户要求就签署合同；</w:t>
                  </w:r>
                </w:p>
              </w:tc>
              <w:tc>
                <w:tcPr>
                  <w:tcW w:w="3965" w:type="dxa"/>
                </w:tcPr>
                <w:p>
                  <w:pPr>
                    <w:shd w:val="clear" w:color="auto" w:fill="C7DAF1" w:themeFill="text2" w:themeFillTint="32"/>
                    <w:rPr>
                      <w:rFonts w:hint="eastAsia" w:ascii="Times New Roman" w:hAnsi="Times New Roman" w:eastAsia="宋体" w:cs="Times New Roman"/>
                    </w:rPr>
                  </w:pPr>
                  <w:r>
                    <w:rPr>
                      <w:rFonts w:hint="eastAsia"/>
                    </w:rPr>
                    <w:t>对市场需求产品的发展趋势分析应该经过反复论证。对客户的要求实施监视和测量。在确定与客户签署合同前落实合同评审事宜。相关文件：《产品和服务要求控制程序》</w:t>
                  </w:r>
                </w:p>
              </w:tc>
              <w:tc>
                <w:tcPr>
                  <w:tcW w:w="1717"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不能按时交付，交付的产品不符合客户的要求。</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生产计划管制。生产过程的品质控制。成品的品质检验。出货前的品质检验。查看其他风险点识别可以措施可行。</w:t>
                  </w:r>
                </w:p>
              </w:tc>
              <w:tc>
                <w:tcPr>
                  <w:tcW w:w="1717"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840" w:type="dxa"/>
                </w:tcPr>
                <w:p>
                  <w:pPr>
                    <w:shd w:val="clear" w:color="auto" w:fill="C7DAF1" w:themeFill="text2" w:themeFillTint="32"/>
                    <w:rPr>
                      <w:rFonts w:hint="eastAsia" w:ascii="Times New Roman" w:hAnsi="Times New Roman" w:eastAsia="宋体" w:cs="Times New Roman"/>
                    </w:rPr>
                  </w:pPr>
                </w:p>
              </w:tc>
              <w:tc>
                <w:tcPr>
                  <w:tcW w:w="3965" w:type="dxa"/>
                </w:tcPr>
                <w:p>
                  <w:pPr>
                    <w:shd w:val="clear" w:color="auto" w:fill="C7DAF1" w:themeFill="text2" w:themeFillTint="32"/>
                    <w:rPr>
                      <w:rFonts w:hint="eastAsia" w:ascii="Times New Roman" w:hAnsi="Times New Roman" w:eastAsia="宋体" w:cs="Times New Roman"/>
                    </w:rPr>
                  </w:pPr>
                </w:p>
              </w:tc>
              <w:tc>
                <w:tcPr>
                  <w:tcW w:w="1717" w:type="dxa"/>
                </w:tcPr>
                <w:p>
                  <w:pPr>
                    <w:shd w:val="clear" w:color="auto" w:fill="C7DAF1" w:themeFill="text2" w:themeFillTint="32"/>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rPr>
                      <w:rFonts w:hint="default"/>
                      <w:lang w:val="en-US" w:eastAsia="zh-CN"/>
                    </w:rPr>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hint="default" w:ascii="宋体" w:hAnsi="宋体" w:eastAsia="宋体" w:cs="宋体"/>
                      <w:kern w:val="0"/>
                      <w:sz w:val="21"/>
                      <w:szCs w:val="21"/>
                      <w:lang w:val="en-US" w:eastAsia="zh-CN" w:bidi="ar"/>
                    </w:rPr>
                  </w:pPr>
                  <w:r>
                    <w:rPr>
                      <w:rFonts w:hint="eastAsia"/>
                      <w:color w:val="000000"/>
                      <w:szCs w:val="18"/>
                    </w:rPr>
                    <w:t>一次合格数量/总生产产品数量*100%</w:t>
                  </w:r>
                </w:p>
              </w:tc>
              <w:tc>
                <w:tcPr>
                  <w:tcW w:w="1350" w:type="dxa"/>
                  <w:shd w:val="clear" w:color="auto" w:fill="auto"/>
                  <w:vAlign w:val="center"/>
                </w:tcPr>
                <w:p>
                  <w:pPr>
                    <w:snapToGrid w:val="0"/>
                    <w:spacing w:line="240" w:lineRule="atLeast"/>
                    <w:ind w:left="-288" w:leftChars="-137" w:firstLine="214" w:firstLineChars="102"/>
                    <w:jc w:val="center"/>
                    <w:rPr>
                      <w:rFonts w:hint="default" w:eastAsia="宋体"/>
                      <w:lang w:val="en-US" w:eastAsia="zh-CN"/>
                    </w:rPr>
                  </w:pPr>
                  <w:r>
                    <w:rPr>
                      <w:rFonts w:hint="eastAsia" w:ascii="宋体" w:hAnsi="宋体"/>
                      <w:szCs w:val="21"/>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rPr>
                      <w:rFonts w:hint="default"/>
                      <w:lang w:val="en-US" w:eastAsia="zh-CN"/>
                    </w:rPr>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hint="default" w:ascii="宋体" w:hAnsi="宋体" w:eastAsia="宋体" w:cs="宋体"/>
                      <w:kern w:val="0"/>
                      <w:sz w:val="21"/>
                      <w:szCs w:val="21"/>
                      <w:lang w:val="en-US" w:eastAsia="zh-CN" w:bidi="ar"/>
                    </w:rPr>
                  </w:pPr>
                  <w:r>
                    <w:rPr>
                      <w:rFonts w:hint="eastAsia"/>
                      <w:color w:val="000000"/>
                      <w:szCs w:val="18"/>
                    </w:rPr>
                    <w:t>满意度测试分数/测试总分数*100%</w:t>
                  </w:r>
                </w:p>
              </w:tc>
              <w:tc>
                <w:tcPr>
                  <w:tcW w:w="1350" w:type="dxa"/>
                  <w:shd w:val="clear" w:color="auto" w:fill="auto"/>
                  <w:vAlign w:val="center"/>
                </w:tcPr>
                <w:p>
                  <w:pPr>
                    <w:snapToGrid w:val="0"/>
                    <w:spacing w:line="240" w:lineRule="atLeast"/>
                    <w:ind w:left="-288" w:leftChars="-137" w:firstLine="214" w:firstLineChars="102"/>
                    <w:jc w:val="center"/>
                    <w:rPr>
                      <w:rFonts w:hint="default" w:ascii="宋体" w:hAnsi="宋体" w:eastAsia="宋体"/>
                      <w:lang w:val="en-US" w:eastAsia="zh-CN"/>
                    </w:rPr>
                  </w:pPr>
                  <w:r>
                    <w:rPr>
                      <w:rFonts w:hint="eastAsia" w:ascii="宋体" w:hAnsi="宋体"/>
                      <w:szCs w:val="21"/>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191" w:type="dxa"/>
                  <w:shd w:val="clear" w:color="auto" w:fill="auto"/>
                  <w:vAlign w:val="top"/>
                </w:tcPr>
                <w:p>
                  <w:pPr>
                    <w:widowControl/>
                    <w:spacing w:before="40" w:line="400" w:lineRule="exact"/>
                    <w:jc w:val="left"/>
                  </w:pPr>
                </w:p>
              </w:tc>
              <w:tc>
                <w:tcPr>
                  <w:tcW w:w="3136" w:type="dxa"/>
                  <w:shd w:val="clear" w:color="auto" w:fill="auto"/>
                  <w:vAlign w:val="top"/>
                </w:tcPr>
                <w:p>
                  <w:pPr>
                    <w:widowControl/>
                    <w:spacing w:before="40"/>
                    <w:jc w:val="left"/>
                    <w:rPr>
                      <w:rFonts w:ascii="宋体" w:hAnsi="宋体"/>
                    </w:rPr>
                  </w:pPr>
                </w:p>
              </w:tc>
              <w:tc>
                <w:tcPr>
                  <w:tcW w:w="1350" w:type="dxa"/>
                  <w:shd w:val="clear" w:color="auto" w:fill="auto"/>
                  <w:vAlign w:val="center"/>
                </w:tcPr>
                <w:p>
                  <w:pPr>
                    <w:snapToGrid w:val="0"/>
                    <w:spacing w:line="240" w:lineRule="atLeast"/>
                    <w:ind w:left="-137" w:leftChars="0"/>
                    <w:jc w:val="right"/>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napToGrid w:val="0"/>
                    <w:spacing w:line="240" w:lineRule="atLeast"/>
                    <w:jc w:val="center"/>
                    <w:rPr>
                      <w:rFonts w:ascii="宋体" w:hAnsi="宋体"/>
                    </w:rPr>
                  </w:pPr>
                </w:p>
              </w:tc>
              <w:tc>
                <w:tcPr>
                  <w:tcW w:w="1350" w:type="dxa"/>
                  <w:shd w:val="clear" w:color="auto" w:fill="auto"/>
                  <w:vAlign w:val="center"/>
                </w:tcPr>
                <w:p>
                  <w:pPr>
                    <w:snapToGrid w:val="0"/>
                    <w:spacing w:line="240" w:lineRule="atLeast"/>
                    <w:ind w:left="-137" w:leftChars="0"/>
                    <w:jc w:val="right"/>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hint="eastAsia" w:ascii="宋体" w:hAnsi="宋体" w:eastAsia="宋体" w:cs="Times New Roman"/>
                      <w:kern w:val="2"/>
                      <w:sz w:val="21"/>
                      <w:szCs w:val="21"/>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约7000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电焊机、</w:t>
            </w:r>
            <w:r>
              <w:rPr>
                <w:rFonts w:hint="eastAsia"/>
                <w:u w:val="single"/>
                <w:lang w:val="en-US" w:eastAsia="zh-CN"/>
              </w:rPr>
              <w:t>锯床、冲床等</w:t>
            </w:r>
            <w:r>
              <w:rPr>
                <w:rFonts w:hint="eastAsia"/>
                <w:u w:val="single"/>
              </w:rPr>
              <w:t>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特种设备管理：■进行了定期检验</w:t>
            </w:r>
            <w:r>
              <w:rPr>
                <w:rFonts w:hint="eastAsia"/>
                <w:lang w:val="en-US" w:eastAsia="zh-CN"/>
              </w:rPr>
              <w:t xml:space="preserve">  </w:t>
            </w:r>
            <w:r>
              <w:rPr>
                <w:rFonts w:hint="eastAsia"/>
              </w:rPr>
              <w:t xml:space="preserve"> 未进行定期检验的有：</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ascii="Times New Roman" w:hAnsi="Times New Roman" w:eastAsia="宋体" w:cs="Times New Roman"/>
              </w:rPr>
              <w:t xml:space="preserve">国家强检的计量器具有： </w:t>
            </w:r>
            <w:r>
              <w:rPr>
                <w:rFonts w:hint="eastAsia" w:ascii="Times New Roman" w:hAnsi="Times New Roman" w:eastAsia="宋体" w:cs="Times New Roman"/>
                <w:lang w:val="en-US" w:eastAsia="zh-CN"/>
              </w:rPr>
              <w:t>无</w:t>
            </w:r>
            <w:r>
              <w:rPr>
                <w:rFonts w:hint="eastAsia" w:ascii="Times New Roman" w:hAnsi="Times New Roman" w:eastAsia="宋体" w:cs="Times New Roman"/>
              </w:rPr>
              <w:t xml:space="preserve">  （</w:t>
            </w:r>
            <w:r>
              <w:rPr>
                <w:rFonts w:hint="eastAsia"/>
                <w:u w:val="single"/>
              </w:rPr>
              <w:t>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产品/服务名称</w:t>
                  </w:r>
                </w:p>
              </w:tc>
              <w:tc>
                <w:tcPr>
                  <w:tcW w:w="36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关键过程</w:t>
                  </w:r>
                </w:p>
              </w:tc>
              <w:tc>
                <w:tcPr>
                  <w:tcW w:w="3265"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光伏地桩</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焊接</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外观、尺寸、质量符合要求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ascii="Times New Roman" w:hAnsi="Times New Roman" w:eastAsia="宋体" w:cs="Times New Roman"/>
                      <w:lang w:val="en-US" w:eastAsia="zh-CN"/>
                    </w:rPr>
                  </w:pPr>
                </w:p>
              </w:tc>
              <w:tc>
                <w:tcPr>
                  <w:tcW w:w="3665" w:type="dxa"/>
                  <w:vAlign w:val="top"/>
                </w:tcPr>
                <w:p>
                  <w:pPr>
                    <w:shd w:val="clear" w:color="auto" w:fill="C7DAF1" w:themeFill="text2" w:themeFillTint="32"/>
                    <w:jc w:val="left"/>
                    <w:rPr>
                      <w:rFonts w:hint="default" w:ascii="Times New Roman" w:hAnsi="Times New Roman" w:eastAsia="宋体" w:cs="Times New Roman"/>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ascii="Times New Roman" w:hAnsi="Times New Roman" w:eastAsia="宋体" w:cs="Times New Roman"/>
                      <w:lang w:val="en-US"/>
                    </w:rPr>
                  </w:pPr>
                </w:p>
              </w:tc>
              <w:tc>
                <w:tcPr>
                  <w:tcW w:w="3665" w:type="dxa"/>
                  <w:vAlign w:val="top"/>
                </w:tcPr>
                <w:p>
                  <w:pPr>
                    <w:shd w:val="clear" w:color="auto" w:fill="C7DAF1" w:themeFill="text2" w:themeFillTint="32"/>
                    <w:jc w:val="left"/>
                    <w:rPr>
                      <w:rFonts w:hint="default" w:ascii="Times New Roman" w:hAnsi="Times New Roman" w:eastAsia="宋体" w:cs="Times New Roman"/>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lang w:val="en-US" w:eastAsia="zh-CN"/>
              </w:rPr>
              <w:t>22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bookmarkStart w:id="33" w:name="_GoBack"/>
      <w:bookmarkEnd w:id="33"/>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8BF747F"/>
    <w:rsid w:val="0A391B28"/>
    <w:rsid w:val="27BD7271"/>
    <w:rsid w:val="299D63AE"/>
    <w:rsid w:val="2E054971"/>
    <w:rsid w:val="3AE22861"/>
    <w:rsid w:val="3F3030D1"/>
    <w:rsid w:val="4EA22A8A"/>
    <w:rsid w:val="5A68473E"/>
    <w:rsid w:val="621C61B5"/>
    <w:rsid w:val="6E6A0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4</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2023-02-14T01:54:33Z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