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0096-2022-QEO-2023</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重庆恒达电梯有限公司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Q:ISC-Q-2022-1960,E:ISC-E-2022-1353,O:ISC-O-2022-1242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91500107202836359U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Q:25,E:25,O:25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重庆恒达电梯有限公司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Q：电梯的销售</w:t>
            </w:r>
          </w:p>
          <w:p>
            <w:pPr>
              <w:snapToGrid w:val="0"/>
              <w:spacing w:line="0" w:lineRule="atLeast"/>
              <w:jc w:val="left"/>
              <w:rPr>
                <w:sz w:val="22"/>
                <w:szCs w:val="22"/>
              </w:rPr>
            </w:pPr>
            <w:r>
              <w:rPr>
                <w:sz w:val="22"/>
                <w:szCs w:val="22"/>
              </w:rPr>
              <w:t>E：电梯的销售所涉及场所的相关环境管理活动</w:t>
            </w:r>
          </w:p>
          <w:p>
            <w:pPr>
              <w:snapToGrid w:val="0"/>
              <w:spacing w:line="0" w:lineRule="atLeast"/>
              <w:jc w:val="left"/>
              <w:rPr>
                <w:sz w:val="22"/>
                <w:szCs w:val="22"/>
              </w:rPr>
            </w:pPr>
            <w:r>
              <w:rPr>
                <w:sz w:val="22"/>
                <w:szCs w:val="22"/>
              </w:rPr>
              <w:t>O：电梯的销售所涉及场所的相关职业健康安全管理活动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重庆市九龙坡区杨家坪珠江路佳宇大厦6-6号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重庆市九龙坡区杨家坪珠江路佳宇大厦6-6号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bookmarkStart w:id="22" w:name="_GoBack" w:colFirst="1" w:colLast="3"/>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auto"/>
                <w:sz w:val="22"/>
                <w:szCs w:val="22"/>
              </w:rPr>
            </w:pPr>
            <w:r>
              <w:rPr>
                <w:rFonts w:hint="eastAsia" w:cs="Arial"/>
                <w:b/>
                <w:bCs/>
                <w:color w:val="auto"/>
                <w:sz w:val="22"/>
                <w:szCs w:val="16"/>
              </w:rPr>
              <w:t>Chongqing Hengda Elevator Co., Ltd</w:t>
            </w:r>
          </w:p>
        </w:tc>
        <w:tc>
          <w:tcPr>
            <w:tcW w:w="1337" w:type="dxa"/>
          </w:tcPr>
          <w:p>
            <w:pPr>
              <w:snapToGrid w:val="0"/>
              <w:spacing w:line="0" w:lineRule="atLeast"/>
              <w:jc w:val="left"/>
              <w:rPr>
                <w:color w:val="auto"/>
                <w:sz w:val="22"/>
                <w:szCs w:val="22"/>
              </w:rPr>
            </w:pPr>
            <w:r>
              <w:rPr>
                <w:rFonts w:hint="eastAsia"/>
                <w:color w:val="auto"/>
                <w:sz w:val="22"/>
                <w:szCs w:val="22"/>
              </w:rPr>
              <w:t>QMS/EcMS</w:t>
            </w:r>
          </w:p>
        </w:tc>
        <w:tc>
          <w:tcPr>
            <w:tcW w:w="3676" w:type="dxa"/>
            <w:gridSpan w:val="3"/>
          </w:tcPr>
          <w:p>
            <w:pPr>
              <w:snapToGrid w:val="0"/>
              <w:spacing w:line="0" w:lineRule="atLeast"/>
              <w:jc w:val="left"/>
              <w:rPr>
                <w:color w:val="auto"/>
                <w:sz w:val="21"/>
                <w:szCs w:val="16"/>
              </w:rPr>
            </w:pPr>
            <w:r>
              <w:rPr>
                <w:rFonts w:hint="eastAsia"/>
                <w:color w:val="auto"/>
                <w:sz w:val="21"/>
                <w:szCs w:val="16"/>
              </w:rPr>
              <w:t>Elevator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EMS</w:t>
            </w:r>
          </w:p>
        </w:tc>
        <w:tc>
          <w:tcPr>
            <w:tcW w:w="3676" w:type="dxa"/>
            <w:gridSpan w:val="3"/>
          </w:tcPr>
          <w:p>
            <w:pPr>
              <w:snapToGrid w:val="0"/>
              <w:spacing w:line="0" w:lineRule="atLeast"/>
              <w:jc w:val="left"/>
              <w:rPr>
                <w:color w:val="auto"/>
                <w:sz w:val="21"/>
                <w:szCs w:val="16"/>
              </w:rPr>
            </w:pPr>
            <w:r>
              <w:rPr>
                <w:rFonts w:hint="eastAsia"/>
                <w:color w:val="auto"/>
                <w:sz w:val="21"/>
                <w:szCs w:val="16"/>
              </w:rPr>
              <w:t>Relevant environmental management activities of places involved in elevator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auto"/>
                <w:sz w:val="22"/>
                <w:szCs w:val="22"/>
              </w:rPr>
            </w:pPr>
            <w:r>
              <w:rPr>
                <w:rFonts w:hint="eastAsia"/>
                <w:color w:val="auto"/>
                <w:sz w:val="22"/>
                <w:szCs w:val="22"/>
              </w:rPr>
              <w:t>No. 6-6, Jiayu Building, Zhujiang Road, Yangjiaping, Jiulongpo District, Chongqing</w:t>
            </w:r>
          </w:p>
        </w:tc>
        <w:tc>
          <w:tcPr>
            <w:tcW w:w="1337" w:type="dxa"/>
          </w:tcPr>
          <w:p>
            <w:pPr>
              <w:snapToGrid w:val="0"/>
              <w:spacing w:line="0" w:lineRule="atLeast"/>
              <w:jc w:val="left"/>
              <w:rPr>
                <w:color w:val="auto"/>
                <w:sz w:val="22"/>
                <w:szCs w:val="22"/>
              </w:rPr>
            </w:pPr>
            <w:r>
              <w:rPr>
                <w:rFonts w:hint="eastAsia"/>
                <w:color w:val="auto"/>
                <w:sz w:val="22"/>
                <w:szCs w:val="22"/>
              </w:rPr>
              <w:t>OHSMS</w:t>
            </w:r>
          </w:p>
        </w:tc>
        <w:tc>
          <w:tcPr>
            <w:tcW w:w="3676" w:type="dxa"/>
            <w:gridSpan w:val="3"/>
          </w:tcPr>
          <w:p>
            <w:pPr>
              <w:snapToGrid w:val="0"/>
              <w:spacing w:line="0" w:lineRule="atLeast"/>
              <w:jc w:val="left"/>
              <w:rPr>
                <w:color w:val="auto"/>
                <w:sz w:val="22"/>
                <w:szCs w:val="22"/>
              </w:rPr>
            </w:pPr>
            <w:r>
              <w:rPr>
                <w:rFonts w:hint="eastAsia"/>
                <w:color w:val="auto"/>
                <w:sz w:val="22"/>
                <w:szCs w:val="22"/>
              </w:rPr>
              <w:t>Relevant occupational health and safety management activities of the places involved in elevator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EnMS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auto"/>
                <w:sz w:val="22"/>
                <w:szCs w:val="22"/>
              </w:rPr>
            </w:pPr>
            <w:r>
              <w:rPr>
                <w:rFonts w:hint="eastAsia"/>
                <w:color w:val="auto"/>
                <w:sz w:val="22"/>
                <w:szCs w:val="22"/>
              </w:rPr>
              <w:t>No. 6-6, Jiayu Building, Zhujiang Road, Yangjiaping, Jiulongpo District, Chongqing</w:t>
            </w:r>
          </w:p>
        </w:tc>
        <w:tc>
          <w:tcPr>
            <w:tcW w:w="1337" w:type="dxa"/>
          </w:tcPr>
          <w:p>
            <w:pPr>
              <w:snapToGrid w:val="0"/>
              <w:spacing w:line="0" w:lineRule="atLeast"/>
              <w:jc w:val="left"/>
              <w:rPr>
                <w:color w:val="auto"/>
                <w:sz w:val="22"/>
                <w:szCs w:val="22"/>
              </w:rPr>
            </w:pPr>
            <w:r>
              <w:rPr>
                <w:rFonts w:hint="eastAsia"/>
                <w:color w:val="auto"/>
                <w:sz w:val="22"/>
                <w:szCs w:val="22"/>
              </w:rPr>
              <w:t>FSMS</w:t>
            </w:r>
          </w:p>
        </w:tc>
        <w:tc>
          <w:tcPr>
            <w:tcW w:w="3676"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auto"/>
                <w:sz w:val="22"/>
                <w:szCs w:val="16"/>
              </w:rPr>
            </w:pPr>
          </w:p>
        </w:tc>
        <w:tc>
          <w:tcPr>
            <w:tcW w:w="1337" w:type="dxa"/>
          </w:tcPr>
          <w:p>
            <w:pPr>
              <w:snapToGrid w:val="0"/>
              <w:spacing w:line="0" w:lineRule="atLeast"/>
              <w:jc w:val="left"/>
              <w:rPr>
                <w:color w:val="auto"/>
                <w:sz w:val="22"/>
                <w:szCs w:val="22"/>
              </w:rPr>
            </w:pPr>
            <w:r>
              <w:rPr>
                <w:rFonts w:hint="eastAsia"/>
                <w:color w:val="auto"/>
                <w:sz w:val="22"/>
                <w:szCs w:val="22"/>
              </w:rPr>
              <w:t>HACCP</w:t>
            </w:r>
          </w:p>
        </w:tc>
        <w:tc>
          <w:tcPr>
            <w:tcW w:w="3676" w:type="dxa"/>
            <w:gridSpan w:val="3"/>
          </w:tcPr>
          <w:p>
            <w:pPr>
              <w:snapToGrid w:val="0"/>
              <w:spacing w:line="0" w:lineRule="atLeast"/>
              <w:jc w:val="left"/>
              <w:rPr>
                <w:color w:val="auto"/>
                <w:sz w:val="22"/>
                <w:szCs w:val="22"/>
              </w:rPr>
            </w:pP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113C728B"/>
    <w:rsid w:val="190A46D8"/>
    <w:rsid w:val="7EA71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768</Words>
  <Characters>1418</Characters>
  <Lines>18</Lines>
  <Paragraphs>5</Paragraphs>
  <TotalTime>9</TotalTime>
  <ScaleCrop>false</ScaleCrop>
  <LinksUpToDate>false</LinksUpToDate>
  <CharactersWithSpaces>1596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2023-01-16T06:16:51Z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A84850798E8C4DF8BCC2D113BF170656</vt:lpwstr>
  </property>
  <property fmtid="{D5CDD505-2E9C-101B-9397-08002B2CF9AE}" pid="3" name="KSOProductBuildVer">
    <vt:lpwstr>2052-11.1.0.13703</vt:lpwstr>
  </property>
</Properties>
</file>