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8"/>
        <w:tblW w:w="14217" w:type="dxa"/>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216"/>
        <w:gridCol w:w="716"/>
        <w:gridCol w:w="9766"/>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26"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216"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2" w:type="dxa"/>
            <w:gridSpan w:val="2"/>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节能减排股  </w:t>
            </w:r>
            <w:r>
              <w:rPr>
                <w:rFonts w:hint="eastAsia"/>
                <w:sz w:val="24"/>
                <w:szCs w:val="24"/>
              </w:rPr>
              <w:t>主管领导：</w:t>
            </w:r>
            <w:r>
              <w:rPr>
                <w:rFonts w:hint="eastAsia"/>
                <w:sz w:val="24"/>
                <w:szCs w:val="24"/>
                <w:lang w:val="en-US" w:eastAsia="zh-CN"/>
              </w:rPr>
              <w:t xml:space="preserve"> 周清远  </w:t>
            </w:r>
            <w:r>
              <w:rPr>
                <w:rFonts w:hint="eastAsia"/>
                <w:sz w:val="24"/>
                <w:szCs w:val="24"/>
                <w:highlight w:val="none"/>
                <w:lang w:val="en-US" w:eastAsia="zh-CN"/>
              </w:rPr>
              <w:t xml:space="preserve">      </w:t>
            </w:r>
            <w:r>
              <w:rPr>
                <w:rFonts w:hint="eastAsia"/>
                <w:sz w:val="24"/>
                <w:szCs w:val="24"/>
                <w:highlight w:val="none"/>
              </w:rPr>
              <w:t>陪同人员：</w:t>
            </w:r>
            <w:r>
              <w:rPr>
                <w:rFonts w:hint="eastAsia"/>
                <w:sz w:val="24"/>
                <w:szCs w:val="24"/>
                <w:highlight w:val="none"/>
                <w:lang w:val="en-US" w:eastAsia="zh-CN"/>
              </w:rPr>
              <w:t>陈小勤</w:t>
            </w:r>
          </w:p>
        </w:tc>
        <w:tc>
          <w:tcPr>
            <w:tcW w:w="129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26" w:type="dxa"/>
            <w:vMerge w:val="continue"/>
            <w:vAlign w:val="center"/>
          </w:tcPr>
          <w:p/>
        </w:tc>
        <w:tc>
          <w:tcPr>
            <w:tcW w:w="1216" w:type="dxa"/>
            <w:vMerge w:val="continue"/>
            <w:vAlign w:val="center"/>
          </w:tcPr>
          <w:p/>
        </w:tc>
        <w:tc>
          <w:tcPr>
            <w:tcW w:w="10482" w:type="dxa"/>
            <w:gridSpan w:val="2"/>
            <w:vAlign w:val="center"/>
          </w:tcPr>
          <w:p>
            <w:pPr>
              <w:spacing w:before="120"/>
              <w:rPr>
                <w:rFonts w:hint="default"/>
                <w:sz w:val="24"/>
                <w:lang w:val="en-US"/>
              </w:rPr>
            </w:pPr>
            <w:r>
              <w:rPr>
                <w:rFonts w:hint="eastAsia"/>
                <w:sz w:val="24"/>
                <w:szCs w:val="24"/>
              </w:rPr>
              <w:t>审核员：</w:t>
            </w:r>
            <w:r>
              <w:rPr>
                <w:rFonts w:hint="eastAsia"/>
                <w:sz w:val="21"/>
                <w:szCs w:val="21"/>
                <w:lang w:val="en-US" w:eastAsia="zh-CN"/>
              </w:rPr>
              <w:t>李丽英  （远程采用、微信、腾讯会议、电话等工具）</w:t>
            </w:r>
            <w:r>
              <w:rPr>
                <w:rFonts w:hint="eastAsia" w:ascii="Times New Roman" w:hAnsi="Times New Roman" w:eastAsia="宋体" w:cs="Times New Roman"/>
                <w:sz w:val="21"/>
                <w:szCs w:val="21"/>
                <w:lang w:val="en-US" w:eastAsia="zh-CN"/>
              </w:rPr>
              <w:t xml:space="preserve">   </w:t>
            </w:r>
            <w:r>
              <w:rPr>
                <w:rFonts w:hint="eastAsia"/>
                <w:sz w:val="21"/>
                <w:szCs w:val="21"/>
                <w:lang w:val="en-US" w:eastAsia="zh-CN"/>
              </w:rPr>
              <w:t xml:space="preserve">          </w:t>
            </w:r>
            <w:r>
              <w:rPr>
                <w:rFonts w:hint="eastAsia"/>
                <w:sz w:val="21"/>
                <w:szCs w:val="21"/>
              </w:rPr>
              <w:t>审核日期：</w:t>
            </w:r>
            <w:r>
              <w:rPr>
                <w:sz w:val="21"/>
                <w:szCs w:val="21"/>
              </w:rPr>
              <w:t>202</w:t>
            </w:r>
            <w:r>
              <w:rPr>
                <w:rFonts w:hint="eastAsia"/>
                <w:sz w:val="21"/>
                <w:szCs w:val="21"/>
                <w:lang w:val="en-US" w:eastAsia="zh-CN"/>
              </w:rPr>
              <w:t>3-01-17下午</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226" w:type="dxa"/>
            <w:vMerge w:val="continue"/>
            <w:vAlign w:val="center"/>
          </w:tcPr>
          <w:p/>
        </w:tc>
        <w:tc>
          <w:tcPr>
            <w:tcW w:w="1216" w:type="dxa"/>
            <w:vMerge w:val="continue"/>
            <w:vAlign w:val="center"/>
          </w:tcPr>
          <w:p/>
        </w:tc>
        <w:tc>
          <w:tcPr>
            <w:tcW w:w="10482" w:type="dxa"/>
            <w:gridSpan w:val="2"/>
            <w:vAlign w:val="center"/>
          </w:tcPr>
          <w:p>
            <w:pPr>
              <w:spacing w:line="300" w:lineRule="exact"/>
              <w:rPr>
                <w:rFonts w:hint="default" w:asciiTheme="minorEastAsia" w:hAnsiTheme="minorEastAsia" w:eastAsiaTheme="minorEastAsia"/>
                <w:sz w:val="21"/>
                <w:szCs w:val="21"/>
                <w:lang w:val="en-US" w:eastAsia="zh-CN"/>
              </w:rPr>
            </w:pPr>
            <w:r>
              <w:rPr>
                <w:rFonts w:hint="eastAsia"/>
              </w:rPr>
              <w:t>审核条款：</w:t>
            </w:r>
            <w:r>
              <w:rPr>
                <w:rFonts w:hint="eastAsia" w:cs="Arial"/>
                <w:sz w:val="21"/>
                <w:szCs w:val="21"/>
              </w:rPr>
              <w:t>E</w:t>
            </w:r>
            <w:r>
              <w:rPr>
                <w:rFonts w:hint="eastAsia" w:cs="Arial"/>
                <w:sz w:val="21"/>
                <w:szCs w:val="21"/>
                <w:lang w:val="en-US" w:eastAsia="zh-CN"/>
              </w:rPr>
              <w:t>n</w:t>
            </w:r>
            <w:r>
              <w:rPr>
                <w:rFonts w:hint="eastAsia" w:cs="Arial"/>
                <w:sz w:val="21"/>
                <w:szCs w:val="21"/>
              </w:rPr>
              <w:t>MS:</w:t>
            </w:r>
            <w:r>
              <w:rPr>
                <w:rFonts w:hint="eastAsia"/>
                <w:sz w:val="21"/>
                <w:szCs w:val="21"/>
              </w:rPr>
              <w:t>5.3</w:t>
            </w:r>
            <w:r>
              <w:rPr>
                <w:rFonts w:hint="eastAsia"/>
                <w:sz w:val="21"/>
                <w:szCs w:val="21"/>
                <w:lang w:val="en-US" w:eastAsia="zh-CN"/>
              </w:rPr>
              <w:t>/</w:t>
            </w:r>
            <w:r>
              <w:rPr>
                <w:rFonts w:hint="eastAsia"/>
                <w:sz w:val="21"/>
                <w:szCs w:val="21"/>
              </w:rPr>
              <w:t>6.2</w:t>
            </w:r>
            <w:r>
              <w:rPr>
                <w:rFonts w:hint="eastAsia"/>
                <w:sz w:val="21"/>
                <w:szCs w:val="21"/>
                <w:lang w:val="en-US" w:eastAsia="zh-CN"/>
              </w:rPr>
              <w:t>/6</w:t>
            </w:r>
            <w:r>
              <w:rPr>
                <w:rFonts w:hint="eastAsia"/>
                <w:sz w:val="21"/>
                <w:szCs w:val="21"/>
                <w:highlight w:val="none"/>
                <w:lang w:val="en-US" w:eastAsia="zh-CN"/>
              </w:rPr>
              <w:t>.3/6.4/6.5/6.6/</w:t>
            </w:r>
            <w:r>
              <w:rPr>
                <w:rFonts w:hint="eastAsia" w:ascii="Times New Roman" w:hAnsi="Times New Roman" w:eastAsia="宋体" w:cs="Times New Roman"/>
                <w:bCs w:val="0"/>
                <w:spacing w:val="0"/>
                <w:kern w:val="2"/>
                <w:sz w:val="21"/>
                <w:szCs w:val="21"/>
                <w:lang w:val="en-US" w:eastAsia="zh-CN" w:bidi="ar-SA"/>
              </w:rPr>
              <w:t>7.4/</w:t>
            </w:r>
            <w:r>
              <w:rPr>
                <w:rFonts w:hint="eastAsia"/>
                <w:sz w:val="21"/>
                <w:szCs w:val="21"/>
                <w:lang w:val="en-US" w:eastAsia="zh-CN"/>
              </w:rPr>
              <w:t>8</w:t>
            </w:r>
            <w:r>
              <w:rPr>
                <w:rFonts w:hint="eastAsia"/>
                <w:sz w:val="21"/>
                <w:szCs w:val="21"/>
              </w:rPr>
              <w:t>.</w:t>
            </w:r>
            <w:r>
              <w:rPr>
                <w:rFonts w:hint="eastAsia"/>
                <w:sz w:val="21"/>
                <w:szCs w:val="21"/>
                <w:lang w:val="en-US" w:eastAsia="zh-CN"/>
              </w:rPr>
              <w:t>1/8.2/</w:t>
            </w:r>
            <w:r>
              <w:rPr>
                <w:rFonts w:hint="eastAsia"/>
                <w:sz w:val="21"/>
                <w:szCs w:val="21"/>
                <w:highlight w:val="none"/>
                <w:lang w:val="en-US" w:eastAsia="zh-CN"/>
              </w:rPr>
              <w:t>8.3/</w:t>
            </w:r>
            <w:r>
              <w:rPr>
                <w:rFonts w:hint="eastAsia"/>
                <w:sz w:val="21"/>
                <w:szCs w:val="21"/>
                <w:lang w:val="en-US" w:eastAsia="zh-CN"/>
              </w:rPr>
              <w:t>9.1.1</w:t>
            </w:r>
            <w:r>
              <w:rPr>
                <w:rFonts w:hint="eastAsia" w:ascii="Times New Roman" w:hAnsi="Times New Roman" w:eastAsia="宋体" w:cs="Times New Roman"/>
                <w:bCs w:val="0"/>
                <w:spacing w:val="0"/>
                <w:kern w:val="2"/>
                <w:sz w:val="21"/>
                <w:szCs w:val="21"/>
                <w:lang w:val="en-US" w:eastAsia="zh-CN" w:bidi="ar-SA"/>
              </w:rPr>
              <w:t>/9.1.2/</w:t>
            </w:r>
            <w:r>
              <w:rPr>
                <w:rFonts w:hint="eastAsia"/>
                <w:sz w:val="21"/>
                <w:szCs w:val="21"/>
                <w:lang w:val="en-US" w:eastAsia="zh-CN"/>
              </w:rPr>
              <w:t>10.1</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26" w:type="dxa"/>
            <w:shd w:val="clear" w:color="auto" w:fill="auto"/>
          </w:tcPr>
          <w:p>
            <w:r>
              <w:rPr>
                <w:rFonts w:hint="eastAsia"/>
                <w:color w:val="000000"/>
                <w:szCs w:val="21"/>
              </w:rPr>
              <w:t>部门职责</w:t>
            </w:r>
          </w:p>
        </w:tc>
        <w:tc>
          <w:tcPr>
            <w:tcW w:w="1216" w:type="dxa"/>
            <w:shd w:val="clear" w:color="auto" w:fill="auto"/>
          </w:tcPr>
          <w:p>
            <w:pPr>
              <w:rPr>
                <w:color w:val="000000"/>
                <w:szCs w:val="21"/>
              </w:rPr>
            </w:pPr>
            <w:r>
              <w:rPr>
                <w:rFonts w:hint="eastAsia"/>
                <w:color w:val="000000"/>
                <w:szCs w:val="21"/>
                <w:lang w:val="en-US" w:eastAsia="zh-CN"/>
              </w:rPr>
              <w:t>En</w:t>
            </w:r>
            <w:r>
              <w:rPr>
                <w:rFonts w:hint="eastAsia"/>
                <w:color w:val="000000"/>
                <w:szCs w:val="21"/>
              </w:rPr>
              <w:t>5.3</w:t>
            </w:r>
          </w:p>
          <w:p/>
        </w:tc>
        <w:tc>
          <w:tcPr>
            <w:tcW w:w="10482"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lang w:val="en-US" w:eastAsia="zh-CN"/>
              </w:rPr>
            </w:pPr>
            <w:r>
              <w:rPr>
                <w:rFonts w:hint="eastAsia"/>
                <w:lang w:val="en-US" w:eastAsia="zh-CN"/>
              </w:rPr>
              <w:t>与周清远沟通：本部门共有2人，能源涉及人员和岗位设置：2人，</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职责：负责全区机关事业单位公共机构节约能源管理及监测，会同有关部门制定全区公共机构节能管理规划及相关制度并组织实施，</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lang w:val="en-US" w:eastAsia="zh-CN"/>
              </w:rPr>
            </w:pPr>
            <w:r>
              <w:rPr>
                <w:rFonts w:hint="eastAsia"/>
                <w:lang w:val="en-US" w:eastAsia="zh-CN"/>
              </w:rPr>
              <w:t>有部门职责规定，内容基本符合要求。</w:t>
            </w:r>
          </w:p>
          <w:p>
            <w:pPr>
              <w:pStyle w:val="21"/>
              <w:rPr>
                <w:rFonts w:hint="eastAsia" w:eastAsia="宋体"/>
                <w:lang w:val="en-US" w:eastAsia="zh-CN"/>
              </w:rPr>
            </w:pPr>
            <w:r>
              <w:drawing>
                <wp:inline distT="0" distB="0" distL="114300" distR="114300">
                  <wp:extent cx="1767840" cy="1953895"/>
                  <wp:effectExtent l="0" t="0" r="1016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767840" cy="19538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95450" cy="1935480"/>
                  <wp:effectExtent l="0" t="0" r="635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1695450" cy="19354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80515" cy="1974215"/>
                  <wp:effectExtent l="0" t="0" r="698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580515" cy="1974215"/>
                          </a:xfrm>
                          <a:prstGeom prst="rect">
                            <a:avLst/>
                          </a:prstGeom>
                          <a:noFill/>
                          <a:ln>
                            <a:noFill/>
                          </a:ln>
                        </pic:spPr>
                      </pic:pic>
                    </a:graphicData>
                  </a:graphic>
                </wp:inline>
              </w:drawing>
            </w:r>
          </w:p>
        </w:tc>
        <w:tc>
          <w:tcPr>
            <w:tcW w:w="1293" w:type="dxa"/>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trPr>
        <w:tc>
          <w:tcPr>
            <w:tcW w:w="1226" w:type="dxa"/>
            <w:vMerge w:val="restart"/>
            <w:shd w:val="clear" w:color="auto" w:fill="auto"/>
          </w:tcPr>
          <w:p>
            <w:pPr>
              <w:rPr>
                <w:color w:val="000000"/>
                <w:szCs w:val="21"/>
                <w:highlight w:val="none"/>
              </w:rPr>
            </w:pPr>
            <w:r>
              <w:rPr>
                <w:rFonts w:hint="eastAsia"/>
                <w:color w:val="000000"/>
                <w:szCs w:val="21"/>
                <w:highlight w:val="none"/>
                <w:lang w:val="en-US" w:eastAsia="zh-CN"/>
              </w:rPr>
              <w:t>管理</w:t>
            </w:r>
            <w:r>
              <w:rPr>
                <w:rFonts w:hint="eastAsia"/>
                <w:color w:val="000000"/>
                <w:szCs w:val="21"/>
                <w:highlight w:val="none"/>
              </w:rPr>
              <w:t>目标及其实现的策划</w:t>
            </w:r>
          </w:p>
          <w:p>
            <w:pPr>
              <w:rPr>
                <w:highlight w:val="none"/>
              </w:rPr>
            </w:pPr>
          </w:p>
        </w:tc>
        <w:tc>
          <w:tcPr>
            <w:tcW w:w="1216" w:type="dxa"/>
            <w:vMerge w:val="restart"/>
            <w:shd w:val="clear" w:color="auto" w:fill="auto"/>
          </w:tcPr>
          <w:p>
            <w:pPr>
              <w:rPr>
                <w:rFonts w:hint="eastAsia"/>
              </w:rPr>
            </w:pPr>
            <w:r>
              <w:rPr>
                <w:rFonts w:hint="eastAsia"/>
                <w:lang w:val="en-US" w:eastAsia="zh-CN"/>
              </w:rPr>
              <w:t>En</w:t>
            </w:r>
            <w:r>
              <w:rPr>
                <w:rFonts w:hint="eastAsia"/>
              </w:rPr>
              <w:t>6.2</w:t>
            </w:r>
          </w:p>
          <w:p>
            <w:pPr>
              <w:pStyle w:val="21"/>
              <w:rPr>
                <w:rFonts w:hint="eastAsia"/>
                <w:color w:val="000000"/>
                <w:szCs w:val="21"/>
                <w:highlight w:val="none"/>
                <w:lang w:val="en-US" w:eastAsia="zh-CN"/>
              </w:rPr>
            </w:pPr>
          </w:p>
          <w:p>
            <w:pPr>
              <w:pStyle w:val="21"/>
              <w:rPr>
                <w:rFonts w:hint="default"/>
                <w:color w:val="000000"/>
                <w:szCs w:val="21"/>
                <w:highlight w:val="none"/>
                <w:lang w:val="en-US" w:eastAsia="zh-CN"/>
              </w:rPr>
            </w:pP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highlight w:val="none"/>
              </w:rPr>
              <w:sym w:font="Wingdings" w:char="00FE"/>
            </w:r>
            <w:r>
              <w:rPr>
                <w:rFonts w:hint="eastAsia"/>
                <w:highlight w:val="none"/>
              </w:rPr>
              <w:t>手册第6.2章、</w:t>
            </w:r>
            <w:r>
              <w:rPr>
                <w:highlight w:val="none"/>
              </w:rPr>
              <w:sym w:font="Wingdings" w:char="00FE"/>
            </w:r>
            <w:r>
              <w:rPr>
                <w:rFonts w:hint="eastAsia"/>
                <w:highlight w:val="none"/>
              </w:rPr>
              <w:t>《目标</w:t>
            </w:r>
            <w:r>
              <w:rPr>
                <w:rFonts w:hint="eastAsia"/>
                <w:highlight w:val="none"/>
                <w:lang w:eastAsia="zh-CN"/>
              </w:rPr>
              <w:t>、</w:t>
            </w:r>
            <w:r>
              <w:rPr>
                <w:rFonts w:hint="eastAsia"/>
                <w:highlight w:val="none"/>
                <w:lang w:val="en-US" w:eastAsia="zh-CN"/>
              </w:rPr>
              <w:t>指标的制定控制程序</w:t>
            </w:r>
            <w:r>
              <w:rPr>
                <w:rFonts w:hint="eastAsia"/>
                <w:highlight w:val="none"/>
              </w:rPr>
              <w:t>》</w:t>
            </w:r>
          </w:p>
        </w:tc>
        <w:tc>
          <w:tcPr>
            <w:tcW w:w="1293" w:type="dxa"/>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rPr>
                <w:rFonts w:hint="eastAsia"/>
              </w:rPr>
            </w:pPr>
            <w:r>
              <w:rPr>
                <w:rFonts w:hint="eastAsia"/>
              </w:rPr>
              <w:t>组织建立了与方针一致的文件化的管理目标。为实现总的</w:t>
            </w:r>
            <w:r>
              <w:rPr>
                <w:rFonts w:hint="eastAsia"/>
                <w:lang w:val="en-US" w:eastAsia="zh-CN"/>
              </w:rPr>
              <w:t>管理</w:t>
            </w:r>
            <w:r>
              <w:rPr>
                <w:rFonts w:hint="eastAsia"/>
              </w:rPr>
              <w:t>目标而建立的各层级</w:t>
            </w:r>
            <w:r>
              <w:rPr>
                <w:rFonts w:hint="eastAsia"/>
                <w:lang w:val="en-US" w:eastAsia="zh-CN"/>
              </w:rPr>
              <w:t>的</w:t>
            </w:r>
            <w:r>
              <w:rPr>
                <w:rFonts w:hint="eastAsia"/>
              </w:rPr>
              <w:t>目标</w:t>
            </w:r>
            <w:r>
              <w:rPr>
                <w:rFonts w:hint="eastAsia"/>
                <w:lang w:eastAsia="zh-CN"/>
              </w:rPr>
              <w:t>，</w:t>
            </w:r>
            <w:r>
              <w:rPr>
                <w:rFonts w:hint="eastAsia"/>
              </w:rPr>
              <w:t>具体、有针对性、可测量并且可实现。</w:t>
            </w:r>
          </w:p>
          <w:p>
            <w:pPr>
              <w:rPr>
                <w:rFonts w:hint="eastAsia"/>
              </w:rPr>
            </w:pPr>
            <w:r>
              <w:rPr>
                <w:rFonts w:hint="eastAsia"/>
              </w:rPr>
              <w:t>总</w:t>
            </w:r>
            <w:r>
              <w:rPr>
                <w:rFonts w:hint="eastAsia"/>
                <w:lang w:val="en-US" w:eastAsia="zh-CN"/>
              </w:rPr>
              <w:t>管理</w:t>
            </w:r>
            <w:r>
              <w:rPr>
                <w:rFonts w:hint="eastAsia"/>
              </w:rPr>
              <w:t>目标</w:t>
            </w:r>
            <w:r>
              <w:rPr>
                <w:rFonts w:hint="eastAsia"/>
                <w:lang w:val="en-US" w:eastAsia="zh-CN"/>
              </w:rPr>
              <w:t>的</w:t>
            </w:r>
            <w:r>
              <w:rPr>
                <w:rFonts w:hint="eastAsia"/>
              </w:rPr>
              <w:t>实现情况的评价，及其测量方法是：</w:t>
            </w:r>
          </w:p>
          <w:p>
            <w:pPr>
              <w:pStyle w:val="21"/>
            </w:pPr>
          </w:p>
          <w:tbl>
            <w:tblPr>
              <w:tblStyle w:val="19"/>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9"/>
              <w:gridCol w:w="1173"/>
              <w:gridCol w:w="2381"/>
              <w:gridCol w:w="1273"/>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909" w:type="dxa"/>
                  <w:shd w:val="clear" w:color="auto" w:fill="auto"/>
                </w:tcPr>
                <w:p>
                  <w:pPr>
                    <w:widowControl/>
                    <w:spacing w:before="40"/>
                    <w:jc w:val="left"/>
                    <w:rPr>
                      <w:rFonts w:hint="default" w:eastAsia="宋体"/>
                      <w:lang w:val="en-US" w:eastAsia="zh-CN"/>
                    </w:rPr>
                  </w:pPr>
                  <w:r>
                    <w:rPr>
                      <w:rFonts w:hint="eastAsia"/>
                      <w:lang w:val="en-US" w:eastAsia="zh-CN"/>
                    </w:rPr>
                    <w:t>能源</w:t>
                  </w:r>
                  <w:r>
                    <w:rPr>
                      <w:rFonts w:hint="eastAsia"/>
                    </w:rPr>
                    <w:t>目标</w:t>
                  </w:r>
                  <w:r>
                    <w:rPr>
                      <w:rFonts w:hint="eastAsia"/>
                      <w:lang w:val="en-US" w:eastAsia="zh-CN"/>
                    </w:rPr>
                    <w:t>2022年指标</w:t>
                  </w:r>
                </w:p>
              </w:tc>
              <w:tc>
                <w:tcPr>
                  <w:tcW w:w="1173" w:type="dxa"/>
                  <w:shd w:val="clear" w:color="auto" w:fill="auto"/>
                </w:tcPr>
                <w:p>
                  <w:pPr>
                    <w:widowControl/>
                    <w:spacing w:before="40"/>
                    <w:jc w:val="left"/>
                  </w:pPr>
                  <w:r>
                    <w:rPr>
                      <w:rFonts w:hint="eastAsia"/>
                    </w:rPr>
                    <w:t>考核频次</w:t>
                  </w:r>
                </w:p>
              </w:tc>
              <w:tc>
                <w:tcPr>
                  <w:tcW w:w="2381" w:type="dxa"/>
                  <w:shd w:val="clear" w:color="auto" w:fill="auto"/>
                </w:tcPr>
                <w:p>
                  <w:pPr>
                    <w:widowControl/>
                    <w:spacing w:before="40"/>
                    <w:jc w:val="left"/>
                    <w:rPr>
                      <w:rFonts w:hint="default"/>
                      <w:lang w:val="en-US" w:eastAsia="zh-CN"/>
                    </w:rPr>
                  </w:pPr>
                  <w:r>
                    <w:rPr>
                      <w:rFonts w:hint="eastAsia"/>
                    </w:rPr>
                    <w:t>计算方法</w:t>
                  </w:r>
                  <w:r>
                    <w:rPr>
                      <w:rFonts w:hint="eastAsia"/>
                      <w:lang w:val="en-US" w:eastAsia="zh-CN"/>
                    </w:rPr>
                    <w:t>/考核内容</w:t>
                  </w:r>
                </w:p>
              </w:tc>
              <w:tc>
                <w:tcPr>
                  <w:tcW w:w="1273" w:type="dxa"/>
                  <w:shd w:val="clear" w:color="auto" w:fill="auto"/>
                </w:tcPr>
                <w:p>
                  <w:pPr>
                    <w:widowControl/>
                    <w:spacing w:before="40"/>
                    <w:jc w:val="left"/>
                    <w:rPr>
                      <w:rFonts w:hint="eastAsia"/>
                      <w:lang w:val="en-US" w:eastAsia="zh-CN"/>
                    </w:rPr>
                  </w:pPr>
                  <w:r>
                    <w:rPr>
                      <w:rFonts w:hint="eastAsia"/>
                      <w:lang w:val="en-US" w:eastAsia="zh-CN"/>
                    </w:rPr>
                    <w:t>责任部门</w:t>
                  </w:r>
                </w:p>
              </w:tc>
              <w:tc>
                <w:tcPr>
                  <w:tcW w:w="1709" w:type="dxa"/>
                  <w:shd w:val="clear" w:color="auto" w:fill="auto"/>
                  <w:vAlign w:val="top"/>
                </w:tcPr>
                <w:p>
                  <w:pPr>
                    <w:widowControl/>
                    <w:spacing w:before="40"/>
                    <w:jc w:val="left"/>
                    <w:rPr>
                      <w:rFonts w:hint="eastAsia"/>
                      <w:lang w:val="en-US" w:eastAsia="zh-CN"/>
                    </w:rPr>
                  </w:pPr>
                  <w:r>
                    <w:rPr>
                      <w:rFonts w:hint="eastAsia"/>
                    </w:rPr>
                    <w:t>完成情况（20</w:t>
                  </w:r>
                  <w:r>
                    <w:rPr>
                      <w:rFonts w:hint="eastAsia"/>
                      <w:lang w:val="en-US" w:eastAsia="zh-CN"/>
                    </w:rPr>
                    <w:t>22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909" w:type="dxa"/>
                  <w:shd w:val="clear" w:color="auto" w:fill="auto"/>
                  <w:vAlign w:val="center"/>
                </w:tcPr>
                <w:p>
                  <w:pPr>
                    <w:jc w:val="left"/>
                    <w:rPr>
                      <w:rFonts w:hint="default" w:ascii="Times New Roman" w:hAnsi="Times New Roman" w:eastAsia="宋体" w:cs="Times New Roman"/>
                      <w:color w:val="0000FF"/>
                      <w:kern w:val="2"/>
                      <w:sz w:val="21"/>
                      <w:szCs w:val="22"/>
                      <w:lang w:val="en-US" w:eastAsia="zh-CN" w:bidi="ar-SA"/>
                    </w:rPr>
                  </w:pPr>
                  <w:r>
                    <w:rPr>
                      <w:rFonts w:hint="eastAsia" w:ascii="宋体" w:hAnsi="宋体"/>
                      <w:sz w:val="21"/>
                      <w:szCs w:val="21"/>
                    </w:rPr>
                    <w:t>员工培训覆盖率</w:t>
                  </w:r>
                  <w:r>
                    <w:rPr>
                      <w:rFonts w:hint="eastAsia" w:ascii="宋体" w:hAnsi="宋体"/>
                      <w:sz w:val="21"/>
                      <w:szCs w:val="21"/>
                      <w:lang w:val="en-US" w:eastAsia="zh-CN"/>
                    </w:rPr>
                    <w:t>100%</w:t>
                  </w:r>
                </w:p>
              </w:tc>
              <w:tc>
                <w:tcPr>
                  <w:tcW w:w="1173" w:type="dxa"/>
                  <w:shd w:val="clear" w:color="auto" w:fill="auto"/>
                  <w:vAlign w:val="center"/>
                </w:tcPr>
                <w:p>
                  <w:pPr>
                    <w:jc w:val="both"/>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每年</w:t>
                  </w:r>
                </w:p>
              </w:tc>
              <w:tc>
                <w:tcPr>
                  <w:tcW w:w="2381" w:type="dxa"/>
                  <w:shd w:val="clear" w:color="auto" w:fill="auto"/>
                  <w:vAlign w:val="top"/>
                </w:tcPr>
                <w:p>
                  <w:pPr>
                    <w:jc w:val="left"/>
                    <w:rPr>
                      <w:rFonts w:hint="default" w:ascii="宋体" w:hAnsi="宋体" w:cs="Times New Roman"/>
                      <w:sz w:val="21"/>
                      <w:szCs w:val="21"/>
                      <w:lang w:val="en-US" w:eastAsia="zh-CN"/>
                    </w:rPr>
                  </w:pPr>
                  <w:r>
                    <w:rPr>
                      <w:rFonts w:hint="eastAsia" w:ascii="宋体" w:hAnsi="宋体" w:cs="Times New Roman"/>
                      <w:sz w:val="21"/>
                      <w:szCs w:val="21"/>
                      <w:lang w:val="en-US" w:eastAsia="zh-CN"/>
                    </w:rPr>
                    <w:t>实际培训人数/应培训人数x100%</w:t>
                  </w:r>
                </w:p>
              </w:tc>
              <w:tc>
                <w:tcPr>
                  <w:tcW w:w="1273" w:type="dxa"/>
                  <w:shd w:val="clear" w:color="auto" w:fill="auto"/>
                  <w:vAlign w:val="center"/>
                </w:tcPr>
                <w:p>
                  <w:pPr>
                    <w:jc w:val="left"/>
                    <w:rPr>
                      <w:rFonts w:hint="default" w:ascii="宋体" w:hAnsi="宋体" w:cs="Times New Roman"/>
                      <w:sz w:val="21"/>
                      <w:szCs w:val="21"/>
                      <w:lang w:val="en-US" w:eastAsia="zh-CN"/>
                    </w:rPr>
                  </w:pPr>
                  <w:r>
                    <w:rPr>
                      <w:rFonts w:hint="eastAsia" w:ascii="宋体" w:hAnsi="宋体" w:cs="Times New Roman"/>
                      <w:sz w:val="21"/>
                      <w:szCs w:val="21"/>
                      <w:lang w:val="en-US" w:eastAsia="zh-CN"/>
                    </w:rPr>
                    <w:t>综合股</w:t>
                  </w:r>
                </w:p>
              </w:tc>
              <w:tc>
                <w:tcPr>
                  <w:tcW w:w="1709" w:type="dxa"/>
                  <w:shd w:val="clear" w:color="auto" w:fill="auto"/>
                  <w:vAlign w:val="center"/>
                </w:tcPr>
                <w:p>
                  <w:pPr>
                    <w:jc w:val="center"/>
                    <w:rPr>
                      <w:rFonts w:hint="default" w:ascii="宋体" w:hAnsi="宋体" w:eastAsia="宋体" w:cs="Times New Roman"/>
                      <w:kern w:val="2"/>
                      <w:sz w:val="21"/>
                      <w:szCs w:val="21"/>
                      <w:lang w:val="en-US" w:eastAsia="zh-CN" w:bidi="ar-SA"/>
                    </w:rPr>
                  </w:pPr>
                  <w:r>
                    <w:rPr>
                      <w:rFonts w:hint="eastAsia" w:ascii="宋体" w:hAnsi="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909" w:type="dxa"/>
                  <w:shd w:val="clear" w:color="auto" w:fill="auto"/>
                  <w:vAlign w:val="center"/>
                </w:tcPr>
                <w:p>
                  <w:pPr>
                    <w:jc w:val="both"/>
                    <w:rPr>
                      <w:rFonts w:hint="eastAsia" w:ascii="Times New Roman" w:hAnsi="Times New Roman" w:eastAsia="宋体" w:cs="Times New Roman"/>
                      <w:color w:val="0000FF"/>
                      <w:kern w:val="2"/>
                      <w:sz w:val="21"/>
                      <w:szCs w:val="22"/>
                      <w:lang w:val="en-US" w:eastAsia="zh-CN" w:bidi="ar-SA"/>
                    </w:rPr>
                  </w:pPr>
                  <w:r>
                    <w:rPr>
                      <w:rFonts w:hint="eastAsia" w:ascii="宋体" w:hAnsi="宋体"/>
                      <w:sz w:val="21"/>
                      <w:szCs w:val="21"/>
                      <w:lang w:val="en-US" w:eastAsia="zh-CN"/>
                    </w:rPr>
                    <w:t>单位建筑面积能耗5.319kgce/m</w:t>
                  </w:r>
                  <w:r>
                    <w:rPr>
                      <w:rFonts w:hint="eastAsia" w:ascii="宋体" w:hAnsi="宋体"/>
                      <w:sz w:val="21"/>
                      <w:szCs w:val="21"/>
                      <w:vertAlign w:val="superscript"/>
                      <w:lang w:val="en-US" w:eastAsia="zh-CN"/>
                    </w:rPr>
                    <w:t>2</w:t>
                  </w:r>
                  <w:r>
                    <w:rPr>
                      <w:rFonts w:hint="eastAsia" w:ascii="宋体" w:hAnsi="宋体"/>
                      <w:sz w:val="21"/>
                      <w:szCs w:val="21"/>
                      <w:lang w:val="en-US" w:eastAsia="zh-CN"/>
                    </w:rPr>
                    <w:t>.a</w:t>
                  </w:r>
                </w:p>
              </w:tc>
              <w:tc>
                <w:tcPr>
                  <w:tcW w:w="1173" w:type="dxa"/>
                  <w:shd w:val="clear" w:color="auto" w:fill="auto"/>
                  <w:vAlign w:val="center"/>
                </w:tcPr>
                <w:p>
                  <w:pPr>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每年</w:t>
                  </w:r>
                </w:p>
              </w:tc>
              <w:tc>
                <w:tcPr>
                  <w:tcW w:w="2381" w:type="dxa"/>
                  <w:shd w:val="clear" w:color="auto" w:fill="auto"/>
                  <w:vAlign w:val="top"/>
                </w:tcPr>
                <w:p>
                  <w:pPr>
                    <w:jc w:val="left"/>
                    <w:rPr>
                      <w:rFonts w:hint="eastAsia" w:ascii="宋体" w:hAnsi="宋体" w:cs="Times New Roman"/>
                      <w:sz w:val="21"/>
                      <w:szCs w:val="21"/>
                      <w:lang w:val="en-US" w:eastAsia="zh-CN"/>
                    </w:rPr>
                  </w:pPr>
                  <w:r>
                    <w:rPr>
                      <w:rFonts w:hint="eastAsia" w:ascii="宋体" w:hAnsi="宋体" w:cs="Times New Roman"/>
                      <w:sz w:val="21"/>
                      <w:szCs w:val="21"/>
                      <w:lang w:val="en-US" w:eastAsia="zh-CN"/>
                    </w:rPr>
                    <w:t>按照综合能耗计算标准计算</w:t>
                  </w:r>
                </w:p>
              </w:tc>
              <w:tc>
                <w:tcPr>
                  <w:tcW w:w="1273" w:type="dxa"/>
                  <w:shd w:val="clear" w:color="auto" w:fill="auto"/>
                  <w:vAlign w:val="center"/>
                </w:tcPr>
                <w:p>
                  <w:pPr>
                    <w:jc w:val="left"/>
                    <w:rPr>
                      <w:rFonts w:hint="eastAsia" w:ascii="宋体" w:hAnsi="宋体" w:cs="Times New Roman"/>
                      <w:sz w:val="21"/>
                      <w:szCs w:val="21"/>
                      <w:lang w:val="en-US" w:eastAsia="zh-CN"/>
                    </w:rPr>
                  </w:pPr>
                  <w:r>
                    <w:rPr>
                      <w:rFonts w:hint="eastAsia" w:ascii="宋体" w:hAnsi="宋体" w:cs="Times New Roman"/>
                      <w:sz w:val="21"/>
                      <w:szCs w:val="21"/>
                      <w:lang w:val="en-US" w:eastAsia="zh-CN"/>
                    </w:rPr>
                    <w:t>节能减排股</w:t>
                  </w:r>
                </w:p>
              </w:tc>
              <w:tc>
                <w:tcPr>
                  <w:tcW w:w="1709" w:type="dxa"/>
                  <w:shd w:val="clear" w:color="auto" w:fill="auto"/>
                  <w:vAlign w:val="center"/>
                </w:tcPr>
                <w:p>
                  <w:pPr>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3.2846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909" w:type="dxa"/>
                  <w:shd w:val="clear" w:color="auto" w:fill="auto"/>
                  <w:vAlign w:val="center"/>
                </w:tcPr>
                <w:p>
                  <w:pPr>
                    <w:jc w:val="both"/>
                    <w:rPr>
                      <w:rFonts w:hint="eastAsia" w:ascii="Times New Roman" w:hAnsi="Times New Roman" w:eastAsia="宋体" w:cs="Times New Roman"/>
                      <w:color w:val="0000FF"/>
                      <w:kern w:val="2"/>
                      <w:sz w:val="21"/>
                      <w:szCs w:val="22"/>
                      <w:lang w:val="en-US" w:eastAsia="zh-CN" w:bidi="ar-SA"/>
                    </w:rPr>
                  </w:pPr>
                  <w:r>
                    <w:rPr>
                      <w:rFonts w:hint="eastAsia" w:ascii="宋体" w:hAnsi="宋体"/>
                      <w:sz w:val="21"/>
                      <w:szCs w:val="21"/>
                      <w:lang w:val="en-US" w:eastAsia="zh-CN"/>
                    </w:rPr>
                    <w:t>人均综合能耗33kgce/人.a</w:t>
                  </w:r>
                </w:p>
              </w:tc>
              <w:tc>
                <w:tcPr>
                  <w:tcW w:w="1173" w:type="dxa"/>
                  <w:shd w:val="clear" w:color="auto" w:fill="auto"/>
                  <w:vAlign w:val="center"/>
                </w:tcPr>
                <w:p>
                  <w:pPr>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每年</w:t>
                  </w:r>
                </w:p>
              </w:tc>
              <w:tc>
                <w:tcPr>
                  <w:tcW w:w="2381" w:type="dxa"/>
                  <w:shd w:val="clear" w:color="auto" w:fill="auto"/>
                  <w:vAlign w:val="top"/>
                </w:tcPr>
                <w:p>
                  <w:pPr>
                    <w:jc w:val="left"/>
                    <w:rPr>
                      <w:rFonts w:hint="default" w:ascii="宋体" w:hAnsi="宋体" w:cs="Times New Roman"/>
                      <w:sz w:val="21"/>
                      <w:szCs w:val="21"/>
                      <w:lang w:val="en-US" w:eastAsia="zh-CN"/>
                    </w:rPr>
                  </w:pPr>
                  <w:r>
                    <w:rPr>
                      <w:rFonts w:hint="eastAsia" w:ascii="宋体" w:hAnsi="宋体" w:cs="Times New Roman"/>
                      <w:sz w:val="21"/>
                      <w:szCs w:val="21"/>
                      <w:lang w:val="en-US" w:eastAsia="zh-CN"/>
                    </w:rPr>
                    <w:t>按照综合能耗计算标准计算</w:t>
                  </w:r>
                </w:p>
              </w:tc>
              <w:tc>
                <w:tcPr>
                  <w:tcW w:w="1273" w:type="dxa"/>
                  <w:shd w:val="clear" w:color="auto" w:fill="auto"/>
                  <w:vAlign w:val="center"/>
                </w:tcPr>
                <w:p>
                  <w:pPr>
                    <w:jc w:val="left"/>
                    <w:rPr>
                      <w:rFonts w:hint="default" w:ascii="宋体" w:hAnsi="宋体" w:cs="Times New Roman"/>
                      <w:sz w:val="21"/>
                      <w:szCs w:val="21"/>
                      <w:lang w:val="en-US" w:eastAsia="zh-CN"/>
                    </w:rPr>
                  </w:pPr>
                  <w:r>
                    <w:rPr>
                      <w:rFonts w:hint="eastAsia" w:ascii="宋体" w:hAnsi="宋体" w:cs="Times New Roman"/>
                      <w:sz w:val="21"/>
                      <w:szCs w:val="21"/>
                      <w:lang w:val="en-US" w:eastAsia="zh-CN"/>
                    </w:rPr>
                    <w:t>节能减排股</w:t>
                  </w:r>
                </w:p>
              </w:tc>
              <w:tc>
                <w:tcPr>
                  <w:tcW w:w="1709" w:type="dxa"/>
                  <w:shd w:val="clear" w:color="auto" w:fill="auto"/>
                  <w:vAlign w:val="center"/>
                </w:tcPr>
                <w:p>
                  <w:pPr>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20.4012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909" w:type="dxa"/>
                  <w:shd w:val="clear" w:color="auto" w:fill="auto"/>
                  <w:vAlign w:val="center"/>
                </w:tcPr>
                <w:p>
                  <w:pPr>
                    <w:jc w:val="both"/>
                    <w:rPr>
                      <w:rFonts w:hint="eastAsia" w:ascii="Times New Roman" w:hAnsi="Times New Roman" w:eastAsia="宋体" w:cs="Times New Roman"/>
                      <w:color w:val="0000FF"/>
                      <w:kern w:val="2"/>
                      <w:sz w:val="21"/>
                      <w:szCs w:val="22"/>
                      <w:lang w:val="en-US" w:eastAsia="zh-CN" w:bidi="ar-SA"/>
                    </w:rPr>
                  </w:pPr>
                  <w:r>
                    <w:rPr>
                      <w:rFonts w:hint="eastAsia" w:ascii="宋体" w:hAnsi="宋体"/>
                      <w:sz w:val="21"/>
                      <w:szCs w:val="21"/>
                    </w:rPr>
                    <w:t>耗能设备日常维保率</w:t>
                  </w:r>
                  <w:r>
                    <w:rPr>
                      <w:rFonts w:hint="eastAsia" w:ascii="宋体" w:hAnsi="宋体"/>
                      <w:sz w:val="21"/>
                      <w:szCs w:val="21"/>
                      <w:lang w:val="en-US" w:eastAsia="zh-CN"/>
                    </w:rPr>
                    <w:t>99%</w:t>
                  </w:r>
                  <w:r>
                    <w:rPr>
                      <w:rFonts w:hint="eastAsia" w:ascii="宋体" w:hAnsi="宋体"/>
                      <w:sz w:val="21"/>
                      <w:szCs w:val="21"/>
                      <w:lang w:eastAsia="zh-CN"/>
                    </w:rPr>
                    <w:t>（</w:t>
                  </w:r>
                  <w:r>
                    <w:rPr>
                      <w:rFonts w:hint="eastAsia" w:ascii="宋体" w:hAnsi="宋体"/>
                      <w:sz w:val="21"/>
                      <w:szCs w:val="21"/>
                      <w:lang w:val="en-US" w:eastAsia="zh-CN"/>
                    </w:rPr>
                    <w:t>外委第三方</w:t>
                  </w:r>
                  <w:r>
                    <w:rPr>
                      <w:rFonts w:hint="eastAsia" w:ascii="宋体" w:hAnsi="宋体"/>
                      <w:sz w:val="21"/>
                      <w:szCs w:val="21"/>
                      <w:lang w:eastAsia="zh-CN"/>
                    </w:rPr>
                    <w:t>）</w:t>
                  </w:r>
                </w:p>
              </w:tc>
              <w:tc>
                <w:tcPr>
                  <w:tcW w:w="1173" w:type="dxa"/>
                  <w:shd w:val="clear" w:color="auto" w:fill="auto"/>
                  <w:vAlign w:val="center"/>
                </w:tcPr>
                <w:p>
                  <w:pPr>
                    <w:jc w:val="both"/>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不定期</w:t>
                  </w:r>
                </w:p>
              </w:tc>
              <w:tc>
                <w:tcPr>
                  <w:tcW w:w="2381" w:type="dxa"/>
                  <w:shd w:val="clear" w:color="auto" w:fill="auto"/>
                  <w:vAlign w:val="center"/>
                </w:tcPr>
                <w:p>
                  <w:pPr>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完好台数/总台数*100%</w:t>
                  </w:r>
                </w:p>
              </w:tc>
              <w:tc>
                <w:tcPr>
                  <w:tcW w:w="1273" w:type="dxa"/>
                  <w:shd w:val="clear" w:color="auto" w:fill="auto"/>
                  <w:vAlign w:val="center"/>
                </w:tcPr>
                <w:p>
                  <w:pPr>
                    <w:jc w:val="left"/>
                    <w:rPr>
                      <w:rFonts w:hint="default" w:ascii="宋体" w:hAnsi="宋体" w:cs="Times New Roman"/>
                      <w:sz w:val="21"/>
                      <w:szCs w:val="21"/>
                      <w:lang w:val="en-US" w:eastAsia="zh-CN"/>
                    </w:rPr>
                  </w:pPr>
                  <w:r>
                    <w:rPr>
                      <w:rFonts w:hint="eastAsia" w:ascii="宋体" w:hAnsi="宋体" w:cs="Times New Roman"/>
                      <w:sz w:val="21"/>
                      <w:szCs w:val="21"/>
                      <w:lang w:val="en-US" w:eastAsia="zh-CN"/>
                    </w:rPr>
                    <w:t>节能减排股</w:t>
                  </w:r>
                </w:p>
              </w:tc>
              <w:tc>
                <w:tcPr>
                  <w:tcW w:w="1709" w:type="dxa"/>
                  <w:shd w:val="clear" w:color="auto" w:fill="auto"/>
                  <w:vAlign w:val="center"/>
                </w:tcPr>
                <w:p>
                  <w:pPr>
                    <w:jc w:val="center"/>
                    <w:rPr>
                      <w:rFonts w:hint="eastAsia" w:ascii="宋体" w:hAnsi="宋体" w:eastAsia="宋体" w:cs="Times New Roman"/>
                      <w:kern w:val="2"/>
                      <w:sz w:val="21"/>
                      <w:szCs w:val="21"/>
                      <w:lang w:val="en-US" w:eastAsia="zh-CN" w:bidi="ar-SA"/>
                    </w:rPr>
                  </w:pPr>
                  <w:r>
                    <w:rPr>
                      <w:rFonts w:hint="eastAsia" w:ascii="宋体" w:hAnsi="宋体"/>
                      <w:sz w:val="21"/>
                      <w:szCs w:val="21"/>
                    </w:rPr>
                    <w:t>1</w:t>
                  </w:r>
                  <w:r>
                    <w:rPr>
                      <w:rFonts w:ascii="宋体" w:hAnsi="宋体"/>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909" w:type="dxa"/>
                  <w:shd w:val="clear" w:color="auto" w:fill="auto"/>
                  <w:vAlign w:val="center"/>
                </w:tcPr>
                <w:p>
                  <w:pPr>
                    <w:jc w:val="both"/>
                    <w:rPr>
                      <w:rFonts w:hint="eastAsia" w:ascii="Times New Roman" w:hAnsi="Times New Roman" w:eastAsia="宋体" w:cs="Times New Roman"/>
                      <w:color w:val="0000FF"/>
                      <w:kern w:val="2"/>
                      <w:sz w:val="21"/>
                      <w:szCs w:val="22"/>
                      <w:lang w:val="en-US" w:eastAsia="zh-CN" w:bidi="ar-SA"/>
                    </w:rPr>
                  </w:pPr>
                  <w:r>
                    <w:rPr>
                      <w:rFonts w:hint="eastAsia" w:ascii="宋体" w:hAnsi="宋体"/>
                      <w:sz w:val="21"/>
                      <w:szCs w:val="21"/>
                    </w:rPr>
                    <w:t>计量器具按期检定</w:t>
                  </w:r>
                  <w:r>
                    <w:rPr>
                      <w:rFonts w:hint="eastAsia" w:ascii="宋体" w:hAnsi="宋体"/>
                      <w:sz w:val="21"/>
                      <w:szCs w:val="21"/>
                      <w:lang w:eastAsia="zh-CN"/>
                    </w:rPr>
                    <w:t>（</w:t>
                  </w:r>
                  <w:r>
                    <w:rPr>
                      <w:rFonts w:hint="eastAsia" w:ascii="宋体" w:hAnsi="宋体"/>
                      <w:sz w:val="21"/>
                      <w:szCs w:val="21"/>
                      <w:lang w:val="en-US" w:eastAsia="zh-CN"/>
                    </w:rPr>
                    <w:t>第三方</w:t>
                  </w:r>
                  <w:r>
                    <w:rPr>
                      <w:rFonts w:hint="eastAsia" w:ascii="宋体" w:hAnsi="宋体"/>
                      <w:sz w:val="21"/>
                      <w:szCs w:val="21"/>
                      <w:lang w:eastAsia="zh-CN"/>
                    </w:rPr>
                    <w:t>）</w:t>
                  </w:r>
                </w:p>
              </w:tc>
              <w:tc>
                <w:tcPr>
                  <w:tcW w:w="1173" w:type="dxa"/>
                  <w:shd w:val="clear" w:color="auto" w:fill="auto"/>
                  <w:vAlign w:val="center"/>
                </w:tcPr>
                <w:p>
                  <w:pPr>
                    <w:jc w:val="both"/>
                    <w:rPr>
                      <w:rFonts w:hint="default" w:ascii="宋体" w:hAnsi="宋体" w:eastAsia="宋体" w:cs="Times New Roman"/>
                      <w:sz w:val="21"/>
                      <w:szCs w:val="21"/>
                      <w:lang w:val="en-US" w:eastAsia="zh-CN"/>
                    </w:rPr>
                  </w:pPr>
                </w:p>
              </w:tc>
              <w:tc>
                <w:tcPr>
                  <w:tcW w:w="2381" w:type="dxa"/>
                  <w:shd w:val="clear" w:color="auto" w:fill="auto"/>
                  <w:vAlign w:val="top"/>
                </w:tcPr>
                <w:p>
                  <w:pPr>
                    <w:jc w:val="left"/>
                    <w:rPr>
                      <w:rFonts w:hint="default" w:ascii="宋体" w:hAnsi="宋体" w:cs="Times New Roman"/>
                      <w:sz w:val="21"/>
                      <w:szCs w:val="21"/>
                      <w:lang w:val="en-US" w:eastAsia="zh-CN"/>
                    </w:rPr>
                  </w:pPr>
                  <w:r>
                    <w:rPr>
                      <w:rFonts w:hint="eastAsia" w:ascii="宋体" w:hAnsi="宋体" w:cs="Times New Roman"/>
                      <w:sz w:val="21"/>
                      <w:szCs w:val="21"/>
                      <w:lang w:val="en-US" w:eastAsia="zh-CN"/>
                    </w:rPr>
                    <w:t>与有关部门沟通获取检定证书</w:t>
                  </w:r>
                </w:p>
              </w:tc>
              <w:tc>
                <w:tcPr>
                  <w:tcW w:w="1273" w:type="dxa"/>
                  <w:shd w:val="clear" w:color="auto" w:fill="auto"/>
                  <w:vAlign w:val="center"/>
                </w:tcPr>
                <w:p>
                  <w:pPr>
                    <w:jc w:val="left"/>
                    <w:rPr>
                      <w:rFonts w:hint="default" w:ascii="宋体" w:hAnsi="宋体" w:cs="Times New Roman"/>
                      <w:sz w:val="21"/>
                      <w:szCs w:val="21"/>
                      <w:lang w:val="en-US" w:eastAsia="zh-CN"/>
                    </w:rPr>
                  </w:pPr>
                  <w:r>
                    <w:rPr>
                      <w:rFonts w:hint="eastAsia" w:ascii="宋体" w:hAnsi="宋体" w:cs="Times New Roman"/>
                      <w:sz w:val="21"/>
                      <w:szCs w:val="21"/>
                      <w:lang w:val="en-US" w:eastAsia="zh-CN"/>
                    </w:rPr>
                    <w:t>节能减排股</w:t>
                  </w:r>
                </w:p>
              </w:tc>
              <w:tc>
                <w:tcPr>
                  <w:tcW w:w="1709" w:type="dxa"/>
                  <w:shd w:val="clear" w:color="auto" w:fill="auto"/>
                  <w:vAlign w:val="center"/>
                </w:tcPr>
                <w:p>
                  <w:pPr>
                    <w:jc w:val="center"/>
                    <w:rPr>
                      <w:rFonts w:hint="eastAsia" w:ascii="宋体" w:hAnsi="宋体" w:eastAsia="宋体" w:cs="Times New Roman"/>
                      <w:kern w:val="2"/>
                      <w:sz w:val="21"/>
                      <w:szCs w:val="21"/>
                      <w:lang w:val="en-US" w:eastAsia="zh-CN" w:bidi="ar-SA"/>
                    </w:rPr>
                  </w:pPr>
                  <w:r>
                    <w:rPr>
                      <w:rFonts w:hint="eastAsia" w:ascii="宋体" w:hAnsi="宋体"/>
                      <w:sz w:val="21"/>
                      <w:szCs w:val="21"/>
                    </w:rPr>
                    <w:t>0</w:t>
                  </w:r>
                  <w:r>
                    <w:rPr>
                      <w:rFonts w:ascii="宋体" w:hAnsi="宋体"/>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909" w:type="dxa"/>
                  <w:shd w:val="clear" w:color="auto" w:fill="auto"/>
                  <w:vAlign w:val="center"/>
                </w:tcPr>
                <w:p>
                  <w:pPr>
                    <w:jc w:val="left"/>
                    <w:rPr>
                      <w:rFonts w:hint="eastAsia" w:ascii="Times New Roman" w:hAnsi="Times New Roman" w:eastAsia="宋体" w:cs="Times New Roman"/>
                      <w:color w:val="0000FF"/>
                      <w:kern w:val="2"/>
                      <w:sz w:val="21"/>
                      <w:szCs w:val="22"/>
                      <w:lang w:val="en-US" w:eastAsia="zh-CN" w:bidi="ar-SA"/>
                    </w:rPr>
                  </w:pPr>
                  <w:r>
                    <w:rPr>
                      <w:rFonts w:hint="eastAsia" w:ascii="宋体" w:hAnsi="宋体"/>
                      <w:sz w:val="21"/>
                      <w:szCs w:val="21"/>
                    </w:rPr>
                    <w:t>新项目</w:t>
                  </w:r>
                  <w:r>
                    <w:rPr>
                      <w:rFonts w:hint="eastAsia" w:ascii="宋体" w:hAnsi="宋体"/>
                      <w:sz w:val="21"/>
                      <w:szCs w:val="21"/>
                      <w:lang w:val="en-US" w:eastAsia="zh-CN"/>
                    </w:rPr>
                    <w:t>研发</w:t>
                  </w:r>
                  <w:r>
                    <w:rPr>
                      <w:rFonts w:hint="eastAsia" w:ascii="宋体" w:hAnsi="宋体"/>
                      <w:sz w:val="21"/>
                      <w:szCs w:val="21"/>
                    </w:rPr>
                    <w:t>符合节能要求</w:t>
                  </w:r>
                </w:p>
              </w:tc>
              <w:tc>
                <w:tcPr>
                  <w:tcW w:w="1173" w:type="dxa"/>
                  <w:shd w:val="clear" w:color="auto" w:fill="auto"/>
                  <w:vAlign w:val="center"/>
                </w:tcPr>
                <w:p>
                  <w:pPr>
                    <w:jc w:val="both"/>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不定期</w:t>
                  </w:r>
                </w:p>
              </w:tc>
              <w:tc>
                <w:tcPr>
                  <w:tcW w:w="2381"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0000FF"/>
                      <w:kern w:val="2"/>
                      <w:sz w:val="21"/>
                      <w:szCs w:val="22"/>
                      <w:lang w:val="en-US" w:eastAsia="zh-CN" w:bidi="ar-SA"/>
                    </w:rPr>
                  </w:pPr>
                  <w:r>
                    <w:rPr>
                      <w:rFonts w:hint="eastAsia" w:ascii="宋体" w:hAnsi="宋体" w:cs="Times New Roman"/>
                      <w:sz w:val="21"/>
                      <w:szCs w:val="21"/>
                      <w:lang w:val="en-US" w:eastAsia="zh-CN"/>
                    </w:rPr>
                    <w:t>项目设计时考虑节能要求</w:t>
                  </w:r>
                </w:p>
              </w:tc>
              <w:tc>
                <w:tcPr>
                  <w:tcW w:w="127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s="Times New Roman"/>
                      <w:color w:val="0000FF"/>
                      <w:kern w:val="2"/>
                      <w:sz w:val="21"/>
                      <w:szCs w:val="22"/>
                      <w:lang w:val="en-US" w:eastAsia="zh-CN" w:bidi="ar-SA"/>
                    </w:rPr>
                  </w:pPr>
                  <w:r>
                    <w:rPr>
                      <w:rFonts w:hint="eastAsia" w:ascii="宋体" w:hAnsi="宋体" w:cs="Times New Roman"/>
                      <w:sz w:val="21"/>
                      <w:szCs w:val="21"/>
                      <w:lang w:val="en-US" w:eastAsia="zh-CN"/>
                    </w:rPr>
                    <w:t>节能减排股</w:t>
                  </w:r>
                </w:p>
              </w:tc>
              <w:tc>
                <w:tcPr>
                  <w:tcW w:w="17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color w:val="0000FF"/>
                      <w:kern w:val="2"/>
                      <w:sz w:val="21"/>
                      <w:szCs w:val="22"/>
                      <w:lang w:val="en-US" w:eastAsia="zh-CN" w:bidi="ar-SA"/>
                    </w:rPr>
                  </w:pPr>
                  <w:r>
                    <w:rPr>
                      <w:rFonts w:hint="eastAsia" w:ascii="宋体" w:hAnsi="宋体" w:eastAsia="宋体" w:cs="Times New Roman"/>
                      <w:sz w:val="21"/>
                      <w:szCs w:val="21"/>
                      <w:lang w:val="en-US" w:eastAsia="zh-CN"/>
                    </w:rPr>
                    <w:t>未发生</w:t>
                  </w:r>
                </w:p>
              </w:tc>
            </w:tr>
          </w:tbl>
          <w:p>
            <w:pPr>
              <w:rPr>
                <w:rFonts w:hint="eastAsia"/>
                <w:lang w:val="en-US" w:eastAsia="zh-CN"/>
              </w:rPr>
            </w:pPr>
            <w:r>
              <w:fldChar w:fldCharType="begin"/>
            </w:r>
            <w:r>
              <w:instrText xml:space="preserve"> </w:instrText>
            </w:r>
            <w:r>
              <w:rPr>
                <w:rFonts w:hint="eastAsia"/>
              </w:rPr>
              <w:instrText xml:space="preserve">eq \o\ac(□,√)</w:instrText>
            </w:r>
            <w:r>
              <w:fldChar w:fldCharType="end"/>
            </w:r>
            <w:r>
              <w:rPr>
                <w:rFonts w:hint="eastAsia"/>
                <w:lang w:val="en-US" w:eastAsia="zh-CN"/>
              </w:rPr>
              <w:t>2022年</w:t>
            </w:r>
            <w:r>
              <w:rPr>
                <w:rFonts w:hint="eastAsia"/>
              </w:rPr>
              <w:t>目标已实现</w:t>
            </w:r>
            <w:r>
              <w:rPr>
                <w:rFonts w:hint="eastAsia"/>
                <w:lang w:eastAsia="zh-CN"/>
              </w:rPr>
              <w:t>。</w:t>
            </w:r>
          </w:p>
          <w:p>
            <w:pPr>
              <w:rPr>
                <w:rFonts w:hint="eastAsia"/>
              </w:rPr>
            </w:pPr>
            <w:r>
              <w:rPr>
                <w:rFonts w:hint="eastAsia"/>
              </w:rPr>
              <w:sym w:font="Wingdings" w:char="00A8"/>
            </w:r>
            <w:r>
              <w:rPr>
                <w:rFonts w:hint="eastAsia"/>
              </w:rPr>
              <w:t>目标没有实现的，组织在内部及时进行原因分析并采取了改进措施。</w:t>
            </w:r>
          </w:p>
          <w:p>
            <w:pPr>
              <w:pStyle w:val="2"/>
              <w:rPr>
                <w:rFonts w:hint="default" w:ascii="Times New Roman" w:hAnsi="Times New Roman" w:eastAsia="宋体" w:cs="Times New Roman"/>
                <w:color w:val="FF0000"/>
                <w:spacing w:val="0"/>
                <w:kern w:val="2"/>
                <w:sz w:val="21"/>
                <w:szCs w:val="22"/>
                <w:highlight w:val="none"/>
                <w:lang w:val="en-US" w:eastAsia="zh-CN" w:bidi="ar-SA"/>
              </w:rPr>
            </w:pP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vMerge w:val="restart"/>
            <w:shd w:val="clear" w:color="auto" w:fill="auto"/>
            <w:vAlign w:val="top"/>
          </w:tcPr>
          <w:p>
            <w:pPr>
              <w:rPr>
                <w:rFonts w:ascii="Times New Roman" w:hAnsi="Times New Roman" w:eastAsia="宋体" w:cs="Times New Roman"/>
                <w:kern w:val="2"/>
                <w:sz w:val="21"/>
                <w:lang w:val="en-US" w:eastAsia="zh-CN" w:bidi="ar-SA"/>
              </w:rPr>
            </w:pPr>
            <w:r>
              <w:rPr>
                <w:rFonts w:hint="eastAsia"/>
                <w:color w:val="000000"/>
                <w:szCs w:val="21"/>
              </w:rPr>
              <w:t>能源评审</w:t>
            </w:r>
          </w:p>
        </w:tc>
        <w:tc>
          <w:tcPr>
            <w:tcW w:w="1216" w:type="dxa"/>
            <w:vMerge w:val="restart"/>
            <w:shd w:val="clear" w:color="auto" w:fill="auto"/>
            <w:vAlign w:val="top"/>
          </w:tcPr>
          <w:p>
            <w:pPr>
              <w:rPr>
                <w:rFonts w:ascii="Times New Roman" w:hAnsi="Times New Roman" w:eastAsia="宋体" w:cs="Times New Roman"/>
                <w:kern w:val="2"/>
                <w:sz w:val="21"/>
                <w:lang w:val="en-US" w:eastAsia="zh-CN" w:bidi="ar-SA"/>
              </w:rPr>
            </w:pPr>
            <w:r>
              <w:rPr>
                <w:rFonts w:hint="eastAsia"/>
                <w:color w:val="000000"/>
                <w:szCs w:val="21"/>
              </w:rPr>
              <w:t>En6.3 </w:t>
            </w: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shd w:val="clear" w:color="auto" w:fill="auto"/>
            <w:vAlign w:val="top"/>
          </w:tcPr>
          <w:p>
            <w:pPr>
              <w:rPr>
                <w:rFonts w:hint="default" w:ascii="Times New Roman" w:hAnsi="Times New Roman" w:eastAsia="宋体" w:cs="Times New Roman"/>
                <w:kern w:val="2"/>
                <w:sz w:val="21"/>
                <w:lang w:val="en-US" w:eastAsia="zh-CN" w:bidi="ar-SA"/>
              </w:rPr>
            </w:pPr>
            <w:r>
              <w:rPr>
                <w:rFonts w:hint="eastAsia"/>
              </w:rPr>
              <w:t>如：手册第</w:t>
            </w:r>
            <w:r>
              <w:rPr>
                <w:rFonts w:hint="eastAsia"/>
                <w:lang w:val="en-US" w:eastAsia="zh-CN"/>
              </w:rPr>
              <w:t>6.3</w:t>
            </w:r>
            <w:r>
              <w:rPr>
                <w:rFonts w:hint="eastAsia"/>
              </w:rPr>
              <w:t>条款、《</w:t>
            </w:r>
            <w:r>
              <w:rPr>
                <w:rFonts w:hint="eastAsia"/>
                <w:color w:val="000000"/>
                <w:szCs w:val="21"/>
              </w:rPr>
              <w:t>能源评审管理程序</w:t>
            </w:r>
            <w:r>
              <w:rPr>
                <w:rFonts w:hint="eastAsia"/>
              </w:rPr>
              <w:t>》</w:t>
            </w:r>
          </w:p>
        </w:tc>
        <w:tc>
          <w:tcPr>
            <w:tcW w:w="1293" w:type="dxa"/>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vMerge w:val="continue"/>
            <w:shd w:val="clear" w:color="auto" w:fill="auto"/>
            <w:vAlign w:val="top"/>
          </w:tcPr>
          <w:p>
            <w:pPr>
              <w:rPr>
                <w:rFonts w:ascii="Times New Roman" w:hAnsi="Times New Roman" w:eastAsia="宋体" w:cs="Times New Roman"/>
                <w:kern w:val="2"/>
                <w:sz w:val="21"/>
                <w:lang w:val="en-US" w:eastAsia="zh-CN" w:bidi="ar-SA"/>
              </w:rPr>
            </w:pPr>
          </w:p>
        </w:tc>
        <w:tc>
          <w:tcPr>
            <w:tcW w:w="1216" w:type="dxa"/>
            <w:vMerge w:val="continue"/>
            <w:shd w:val="clear" w:color="auto" w:fill="auto"/>
            <w:vAlign w:val="top"/>
          </w:tcPr>
          <w:p>
            <w:pPr>
              <w:rPr>
                <w:rFonts w:ascii="Times New Roman" w:hAnsi="Times New Roman" w:eastAsia="宋体" w:cs="Times New Roman"/>
                <w:kern w:val="2"/>
                <w:sz w:val="21"/>
                <w:lang w:val="en-US" w:eastAsia="zh-CN" w:bidi="ar-SA"/>
              </w:rPr>
            </w:pP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shd w:val="clear" w:color="auto" w:fill="auto"/>
            <w:vAlign w:val="top"/>
          </w:tcPr>
          <w:tbl>
            <w:tblPr>
              <w:tblStyle w:val="1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5442"/>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default"/>
                      <w:lang w:val="en-US" w:eastAsia="zh-CN"/>
                    </w:rPr>
                  </w:pPr>
                  <w:r>
                    <w:rPr>
                      <w:rFonts w:hint="eastAsia"/>
                      <w:lang w:val="en-US" w:eastAsia="zh-CN"/>
                    </w:rPr>
                    <w:t>能源评审项目</w:t>
                  </w:r>
                </w:p>
              </w:tc>
              <w:tc>
                <w:tcPr>
                  <w:tcW w:w="5442" w:type="dxa"/>
                </w:tcPr>
                <w:p>
                  <w:pPr>
                    <w:numPr>
                      <w:ilvl w:val="0"/>
                      <w:numId w:val="0"/>
                    </w:numPr>
                    <w:jc w:val="left"/>
                    <w:rPr>
                      <w:rFonts w:hint="eastAsia"/>
                      <w:lang w:val="en-US" w:eastAsia="zh-CN"/>
                    </w:rPr>
                  </w:pPr>
                  <w:r>
                    <w:rPr>
                      <w:rFonts w:hint="eastAsia"/>
                      <w:lang w:val="en-US" w:eastAsia="zh-CN"/>
                    </w:rPr>
                    <w:t>内容</w:t>
                  </w:r>
                </w:p>
              </w:tc>
              <w:tc>
                <w:tcPr>
                  <w:tcW w:w="1514" w:type="dxa"/>
                </w:tcPr>
                <w:p>
                  <w:pPr>
                    <w:numPr>
                      <w:ilvl w:val="0"/>
                      <w:numId w:val="0"/>
                    </w:num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eastAsia"/>
                    </w:rPr>
                  </w:pPr>
                  <w:r>
                    <w:t>识别当前的能源类型</w:t>
                  </w:r>
                </w:p>
              </w:tc>
              <w:tc>
                <w:tcPr>
                  <w:tcW w:w="5442" w:type="dxa"/>
                </w:tcPr>
                <w:p>
                  <w:pPr>
                    <w:numPr>
                      <w:ilvl w:val="0"/>
                      <w:numId w:val="0"/>
                    </w:numPr>
                    <w:jc w:val="left"/>
                    <w:rPr>
                      <w:rFonts w:hint="default"/>
                      <w:lang w:val="en-US"/>
                    </w:rPr>
                  </w:pPr>
                  <w:r>
                    <w:rPr>
                      <w:rFonts w:hint="eastAsia"/>
                      <w:lang w:val="en-US" w:eastAsia="zh-CN"/>
                    </w:rPr>
                    <w:t>所在地在区政府大楼，能源种类办公用电和水，服务的其他区域有天然气、汽油、柴油等</w:t>
                  </w:r>
                </w:p>
              </w:tc>
              <w:tc>
                <w:tcPr>
                  <w:tcW w:w="1514" w:type="dxa"/>
                </w:tcPr>
                <w:p>
                  <w:pPr>
                    <w:numPr>
                      <w:ilvl w:val="0"/>
                      <w:numId w:val="0"/>
                    </w:num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eastAsia"/>
                    </w:rPr>
                  </w:pPr>
                  <w:r>
                    <w:t>评价过去和现在的能源使用情况和能源消耗水平</w:t>
                  </w:r>
                </w:p>
              </w:tc>
              <w:tc>
                <w:tcPr>
                  <w:tcW w:w="5442" w:type="dxa"/>
                </w:tcPr>
                <w:p>
                  <w:pPr>
                    <w:pStyle w:val="31"/>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firstLine="0" w:firstLineChars="0"/>
                    <w:jc w:val="both"/>
                    <w:textAlignment w:val="auto"/>
                    <w:rPr>
                      <w:rFonts w:hint="eastAsia" w:ascii="Times New Roman" w:hAnsi="Times New Roman" w:eastAsia="宋体" w:cs="Times New Roman"/>
                      <w:kern w:val="2"/>
                      <w:sz w:val="21"/>
                      <w:szCs w:val="22"/>
                      <w:u w:val="none"/>
                      <w:shd w:val="clear"/>
                      <w:lang w:val="en-US" w:eastAsia="zh-CN" w:bidi="ar-SA"/>
                    </w:rPr>
                  </w:pPr>
                  <w:r>
                    <w:rPr>
                      <w:rFonts w:hint="eastAsia" w:ascii="Times New Roman" w:hAnsi="Times New Roman" w:eastAsia="宋体" w:cs="Times New Roman"/>
                      <w:kern w:val="2"/>
                      <w:sz w:val="21"/>
                      <w:szCs w:val="22"/>
                      <w:u w:val="none"/>
                      <w:shd w:val="clear"/>
                      <w:lang w:val="en-US" w:eastAsia="zh-CN" w:bidi="ar-SA"/>
                    </w:rPr>
                    <w:t>宜宾市南溪区机关事务综合服务中心在区政府大楼三楼办公，因为没有独立的电表和水表计量，建筑面积和人员消耗指标都与区政府大楼的一致。</w:t>
                  </w:r>
                </w:p>
                <w:p>
                  <w:pPr>
                    <w:pStyle w:val="31"/>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firstLine="0" w:firstLineChars="0"/>
                    <w:jc w:val="both"/>
                    <w:textAlignment w:val="auto"/>
                    <w:rPr>
                      <w:rFonts w:hint="eastAsia" w:ascii="Times New Roman" w:hAnsi="Times New Roman" w:eastAsia="宋体" w:cs="Times New Roman"/>
                      <w:kern w:val="2"/>
                      <w:sz w:val="21"/>
                      <w:szCs w:val="22"/>
                      <w:u w:val="none"/>
                      <w:shd w:val="clear"/>
                      <w:lang w:val="en-US" w:eastAsia="zh-CN" w:bidi="ar-SA"/>
                    </w:rPr>
                  </w:pPr>
                  <w:r>
                    <w:rPr>
                      <w:rFonts w:hint="eastAsia" w:ascii="Times New Roman" w:hAnsi="Times New Roman" w:eastAsia="宋体" w:cs="Times New Roman"/>
                      <w:kern w:val="2"/>
                      <w:sz w:val="21"/>
                      <w:szCs w:val="22"/>
                      <w:u w:val="none"/>
                      <w:shd w:val="clear"/>
                      <w:lang w:val="en-US" w:eastAsia="zh-CN" w:bidi="ar-SA"/>
                    </w:rPr>
                    <w:t>区政府大楼的能源种类包括：电、水。其综合能耗为45.6566吨标煤，其中电消耗362716kw.h，折标准煤44.5778吨，水消耗4196吨，折标准煤1.0788吨，电占总能耗的97.64%,水占比2.36%；</w:t>
                  </w:r>
                </w:p>
                <w:p>
                  <w:pPr>
                    <w:numPr>
                      <w:ilvl w:val="0"/>
                      <w:numId w:val="0"/>
                    </w:numPr>
                    <w:jc w:val="left"/>
                    <w:rPr>
                      <w:rFonts w:hint="eastAsia"/>
                    </w:rPr>
                  </w:pPr>
                </w:p>
              </w:tc>
              <w:tc>
                <w:tcPr>
                  <w:tcW w:w="1514" w:type="dxa"/>
                </w:tcPr>
                <w:p>
                  <w:pPr>
                    <w:numPr>
                      <w:ilvl w:val="0"/>
                      <w:numId w:val="0"/>
                    </w:num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eastAsia"/>
                    </w:rPr>
                  </w:pPr>
                  <w:r>
                    <w:t>基于分析，识别主要能源使用</w:t>
                  </w:r>
                  <w:r>
                    <w:rPr>
                      <w:rFonts w:hint="eastAsia"/>
                    </w:rPr>
                    <w:t>；</w:t>
                  </w:r>
                </w:p>
              </w:tc>
              <w:tc>
                <w:tcPr>
                  <w:tcW w:w="5442" w:type="dxa"/>
                </w:tcPr>
                <w:p>
                  <w:pPr>
                    <w:numPr>
                      <w:ilvl w:val="0"/>
                      <w:numId w:val="0"/>
                    </w:numPr>
                    <w:jc w:val="left"/>
                    <w:rPr>
                      <w:rFonts w:hint="default"/>
                      <w:lang w:val="en-US"/>
                    </w:rPr>
                  </w:pPr>
                  <w:r>
                    <w:rPr>
                      <w:rFonts w:hint="eastAsia"/>
                      <w:lang w:val="en-US" w:eastAsia="zh-CN"/>
                    </w:rPr>
                    <w:t>水、电</w:t>
                  </w:r>
                </w:p>
              </w:tc>
              <w:tc>
                <w:tcPr>
                  <w:tcW w:w="1514" w:type="dxa"/>
                </w:tcPr>
                <w:p>
                  <w:pPr>
                    <w:numPr>
                      <w:ilvl w:val="0"/>
                      <w:numId w:val="0"/>
                    </w:numPr>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eastAsia"/>
                      <w:lang w:eastAsia="zh-CN"/>
                    </w:rPr>
                  </w:pPr>
                  <w:r>
                    <w:t>主要</w:t>
                  </w:r>
                  <w:r>
                    <w:rPr>
                      <w:rFonts w:hint="eastAsia"/>
                      <w:lang w:val="en-US" w:eastAsia="zh-CN"/>
                    </w:rPr>
                    <w:t>用能设备</w:t>
                  </w:r>
                </w:p>
              </w:tc>
              <w:tc>
                <w:tcPr>
                  <w:tcW w:w="5442" w:type="dxa"/>
                </w:tcPr>
                <w:p>
                  <w:pPr>
                    <w:numPr>
                      <w:ilvl w:val="0"/>
                      <w:numId w:val="0"/>
                    </w:numPr>
                    <w:jc w:val="left"/>
                    <w:rPr>
                      <w:rFonts w:hint="eastAsia"/>
                      <w:lang w:val="en-US" w:eastAsia="zh-CN"/>
                    </w:rPr>
                  </w:pPr>
                  <w:r>
                    <w:rPr>
                      <w:rFonts w:hint="eastAsia"/>
                      <w:lang w:val="en-US" w:eastAsia="zh-CN"/>
                    </w:rPr>
                    <w:t>办公用电脑、打印机、电梯、空调、配电室等</w:t>
                  </w:r>
                </w:p>
                <w:p>
                  <w:pPr>
                    <w:pStyle w:val="6"/>
                    <w:rPr>
                      <w:rFonts w:hint="default"/>
                      <w:lang w:val="en-US" w:eastAsia="zh-CN"/>
                    </w:rPr>
                  </w:pPr>
                </w:p>
              </w:tc>
              <w:tc>
                <w:tcPr>
                  <w:tcW w:w="1514" w:type="dxa"/>
                </w:tcPr>
                <w:p>
                  <w:pPr>
                    <w:numPr>
                      <w:ilvl w:val="0"/>
                      <w:numId w:val="0"/>
                    </w:num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eastAsia"/>
                    </w:rPr>
                  </w:pPr>
                  <w:r>
                    <w:t>针对每个主要能源使用确定相关变量</w:t>
                  </w:r>
                </w:p>
              </w:tc>
              <w:tc>
                <w:tcPr>
                  <w:tcW w:w="5442" w:type="dxa"/>
                </w:tcPr>
                <w:p>
                  <w:pPr>
                    <w:numPr>
                      <w:ilvl w:val="0"/>
                      <w:numId w:val="0"/>
                    </w:numPr>
                    <w:jc w:val="left"/>
                    <w:rPr>
                      <w:rFonts w:hint="eastAsia"/>
                      <w:lang w:val="en-US" w:eastAsia="zh-CN"/>
                    </w:rPr>
                  </w:pPr>
                  <w:r>
                    <w:rPr>
                      <w:rFonts w:hint="eastAsia"/>
                      <w:lang w:val="en-US" w:eastAsia="zh-CN"/>
                    </w:rPr>
                    <w:t>办公使用电力和水，电占比97%以上，为主要能源使用，其相关变量主要是用能设备的负荷、设备效率等；</w:t>
                  </w:r>
                </w:p>
                <w:p>
                  <w:pPr>
                    <w:pStyle w:val="6"/>
                    <w:rPr>
                      <w:rFonts w:hint="eastAsia"/>
                    </w:rPr>
                  </w:pPr>
                </w:p>
              </w:tc>
              <w:tc>
                <w:tcPr>
                  <w:tcW w:w="1514" w:type="dxa"/>
                </w:tcPr>
                <w:p>
                  <w:pPr>
                    <w:numPr>
                      <w:ilvl w:val="0"/>
                      <w:numId w:val="0"/>
                    </w:numPr>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eastAsia"/>
                    </w:rPr>
                  </w:pPr>
                  <w:r>
                    <w:t>针对每个主要能源使用确定当前能源绩效</w:t>
                  </w:r>
                </w:p>
              </w:tc>
              <w:tc>
                <w:tcPr>
                  <w:tcW w:w="5442" w:type="dxa"/>
                </w:tcPr>
                <w:p>
                  <w:pPr>
                    <w:pStyle w:val="31"/>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firstLine="0" w:firstLineChars="0"/>
                    <w:jc w:val="both"/>
                    <w:textAlignment w:val="auto"/>
                    <w:rPr>
                      <w:rFonts w:hint="default" w:ascii="Times New Roman" w:hAnsi="Times New Roman" w:eastAsia="宋体" w:cs="Times New Roman"/>
                      <w:kern w:val="2"/>
                      <w:sz w:val="21"/>
                      <w:szCs w:val="22"/>
                      <w:highlight w:val="none"/>
                      <w:u w:val="none"/>
                      <w:shd w:val="clear"/>
                      <w:lang w:val="en-US" w:eastAsia="zh-CN" w:bidi="ar-SA"/>
                    </w:rPr>
                  </w:pPr>
                  <w:r>
                    <w:rPr>
                      <w:rFonts w:hint="eastAsia" w:ascii="Times New Roman" w:hAnsi="Times New Roman" w:eastAsia="宋体" w:cs="Times New Roman"/>
                      <w:kern w:val="2"/>
                      <w:sz w:val="21"/>
                      <w:szCs w:val="22"/>
                      <w:highlight w:val="none"/>
                      <w:u w:val="none"/>
                      <w:shd w:val="clear"/>
                      <w:lang w:val="en-US" w:eastAsia="zh-CN" w:bidi="ar-SA"/>
                    </w:rPr>
                    <w:t>2022年单位建筑面积能耗5.319kgce/m2.a；人均综合能耗33kgce/人.年</w:t>
                  </w:r>
                </w:p>
                <w:p>
                  <w:pPr>
                    <w:numPr>
                      <w:ilvl w:val="0"/>
                      <w:numId w:val="0"/>
                    </w:numPr>
                    <w:jc w:val="left"/>
                    <w:rPr>
                      <w:rFonts w:hint="eastAsia"/>
                      <w:lang w:val="en-US" w:eastAsia="zh-CN"/>
                    </w:rPr>
                  </w:pPr>
                </w:p>
              </w:tc>
              <w:tc>
                <w:tcPr>
                  <w:tcW w:w="1514" w:type="dxa"/>
                </w:tcPr>
                <w:p>
                  <w:pPr>
                    <w:numPr>
                      <w:ilvl w:val="0"/>
                      <w:numId w:val="0"/>
                    </w:num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rPr>
                      <w:rFonts w:hint="eastAsia"/>
                    </w:rPr>
                  </w:pPr>
                  <w:r>
                    <w:t>识别在其控制下，对主要能源使用具有影响的相关人员</w:t>
                  </w:r>
                </w:p>
              </w:tc>
              <w:tc>
                <w:tcPr>
                  <w:tcW w:w="5442" w:type="dxa"/>
                </w:tcPr>
                <w:p>
                  <w:pPr>
                    <w:numPr>
                      <w:ilvl w:val="0"/>
                      <w:numId w:val="0"/>
                    </w:numPr>
                    <w:jc w:val="left"/>
                    <w:rPr>
                      <w:rFonts w:hint="default"/>
                      <w:lang w:val="en-US" w:eastAsia="zh-CN"/>
                    </w:rPr>
                  </w:pPr>
                  <w:r>
                    <w:rPr>
                      <w:rFonts w:hint="eastAsia"/>
                      <w:lang w:val="en-US" w:eastAsia="zh-CN"/>
                    </w:rPr>
                    <w:t>提供影响主要能源使用的相关人员包括服务人员、相关管理人员等</w:t>
                  </w:r>
                </w:p>
              </w:tc>
              <w:tc>
                <w:tcPr>
                  <w:tcW w:w="1514" w:type="dxa"/>
                </w:tcPr>
                <w:p>
                  <w:pPr>
                    <w:numPr>
                      <w:ilvl w:val="0"/>
                      <w:numId w:val="0"/>
                    </w:numPr>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pPr>
                  <w:r>
                    <w:t>确定改进能源绩效的机会并进行排序</w:t>
                  </w:r>
                </w:p>
              </w:tc>
              <w:tc>
                <w:tcPr>
                  <w:tcW w:w="5442" w:type="dxa"/>
                </w:tcPr>
                <w:p>
                  <w:pPr>
                    <w:numPr>
                      <w:ilvl w:val="0"/>
                      <w:numId w:val="0"/>
                    </w:numPr>
                    <w:jc w:val="left"/>
                    <w:rPr>
                      <w:rFonts w:hint="eastAsia"/>
                      <w:lang w:val="en-US" w:eastAsia="zh-CN"/>
                    </w:rPr>
                  </w:pPr>
                  <w:r>
                    <w:rPr>
                      <w:rFonts w:hint="eastAsia"/>
                      <w:lang w:val="en-US" w:eastAsia="zh-CN"/>
                    </w:rPr>
                    <w:t>1.加强人员能源意识培训和教育。</w:t>
                  </w:r>
                </w:p>
                <w:p>
                  <w:pPr>
                    <w:numPr>
                      <w:ilvl w:val="0"/>
                      <w:numId w:val="0"/>
                    </w:numPr>
                    <w:jc w:val="left"/>
                    <w:rPr>
                      <w:rFonts w:hint="default"/>
                      <w:lang w:val="en-US" w:eastAsia="zh-CN"/>
                    </w:rPr>
                  </w:pPr>
                  <w:r>
                    <w:rPr>
                      <w:rFonts w:hint="eastAsia"/>
                      <w:lang w:val="en-US" w:eastAsia="zh-CN"/>
                    </w:rPr>
                    <w:t>2 加强用能设备的维护和更新。</w:t>
                  </w:r>
                </w:p>
              </w:tc>
              <w:tc>
                <w:tcPr>
                  <w:tcW w:w="1514" w:type="dxa"/>
                </w:tcPr>
                <w:p>
                  <w:pPr>
                    <w:numPr>
                      <w:ilvl w:val="0"/>
                      <w:numId w:val="0"/>
                    </w:num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087" w:type="dxa"/>
                </w:tcPr>
                <w:p>
                  <w:pPr>
                    <w:numPr>
                      <w:ilvl w:val="0"/>
                      <w:numId w:val="0"/>
                    </w:numPr>
                    <w:jc w:val="left"/>
                  </w:pPr>
                  <w:r>
                    <w:t>评估未来的能源使用和能源消耗</w:t>
                  </w:r>
                </w:p>
              </w:tc>
              <w:tc>
                <w:tcPr>
                  <w:tcW w:w="5442" w:type="dxa"/>
                </w:tcPr>
                <w:p>
                  <w:pPr>
                    <w:numPr>
                      <w:ilvl w:val="0"/>
                      <w:numId w:val="0"/>
                    </w:numPr>
                    <w:jc w:val="left"/>
                    <w:rPr>
                      <w:rFonts w:hint="default"/>
                      <w:lang w:val="en-US" w:eastAsia="zh-CN"/>
                    </w:rPr>
                  </w:pPr>
                  <w:r>
                    <w:rPr>
                      <w:rFonts w:hint="eastAsia"/>
                      <w:lang w:val="en-US" w:eastAsia="zh-CN"/>
                    </w:rPr>
                    <w:t>识别未来能源使用和能源消耗</w:t>
                  </w:r>
                </w:p>
              </w:tc>
              <w:tc>
                <w:tcPr>
                  <w:tcW w:w="1514" w:type="dxa"/>
                </w:tcPr>
                <w:p>
                  <w:pPr>
                    <w:numPr>
                      <w:ilvl w:val="0"/>
                      <w:numId w:val="0"/>
                    </w:num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numPr>
                      <w:ilvl w:val="0"/>
                      <w:numId w:val="0"/>
                    </w:numPr>
                    <w:jc w:val="left"/>
                  </w:pPr>
                  <w:r>
                    <w:rPr>
                      <w:rFonts w:hint="eastAsia"/>
                      <w:lang w:val="en-US" w:eastAsia="zh-CN"/>
                    </w:rPr>
                    <w:t>静态因素：</w:t>
                  </w:r>
                </w:p>
              </w:tc>
              <w:tc>
                <w:tcPr>
                  <w:tcW w:w="5442" w:type="dxa"/>
                </w:tcPr>
                <w:p>
                  <w:pPr>
                    <w:numPr>
                      <w:ilvl w:val="0"/>
                      <w:numId w:val="0"/>
                    </w:numPr>
                    <w:jc w:val="left"/>
                    <w:rPr>
                      <w:rFonts w:hint="default"/>
                      <w:lang w:val="en-US" w:eastAsia="zh-CN"/>
                    </w:rPr>
                  </w:pPr>
                  <w:r>
                    <w:rPr>
                      <w:rFonts w:hint="eastAsia"/>
                      <w:lang w:val="en-US" w:eastAsia="zh-CN"/>
                    </w:rPr>
                    <w:t>分析静态因素主要是，用能设备</w:t>
                  </w:r>
                </w:p>
              </w:tc>
              <w:tc>
                <w:tcPr>
                  <w:tcW w:w="1514" w:type="dxa"/>
                </w:tcPr>
                <w:p>
                  <w:pPr>
                    <w:numPr>
                      <w:ilvl w:val="0"/>
                      <w:numId w:val="0"/>
                    </w:numPr>
                    <w:jc w:val="left"/>
                    <w:rPr>
                      <w:rFonts w:hint="eastAsia"/>
                      <w:lang w:val="en-US" w:eastAsia="zh-CN"/>
                    </w:rPr>
                  </w:pPr>
                </w:p>
              </w:tc>
            </w:tr>
          </w:tbl>
          <w:p>
            <w:pPr>
              <w:jc w:val="left"/>
            </w:pPr>
          </w:p>
          <w:p>
            <w:pPr>
              <w:jc w:val="left"/>
              <w:rPr>
                <w:rFonts w:hint="default"/>
                <w:lang w:val="en-US" w:eastAsia="zh-CN"/>
              </w:rPr>
            </w:pPr>
            <w:r>
              <w:t>组织应按照规定的时间间隔进行能源评审，当设施、设备、系统或能源使用过程发生显著变化时，应进行能源评审。</w:t>
            </w:r>
          </w:p>
          <w:p>
            <w:pPr>
              <w:jc w:val="left"/>
            </w:pPr>
            <w:r>
              <w:t>组织应保持用于建立能源评审的方法和准则的文件化信息（见7.5），保留能源评审结果的文 件化信息。</w:t>
            </w:r>
          </w:p>
          <w:p>
            <w:pPr>
              <w:pStyle w:val="16"/>
            </w:pPr>
          </w:p>
          <w:p>
            <w:pPr>
              <w:jc w:val="left"/>
              <w:rPr>
                <w:rFonts w:hint="eastAsia"/>
                <w:lang w:val="en-US" w:eastAsia="zh-CN"/>
              </w:rPr>
            </w:pPr>
            <w:r>
              <w:rPr>
                <w:rFonts w:hint="eastAsia"/>
                <w:lang w:val="en-US" w:eastAsia="zh-CN"/>
              </w:rPr>
              <w:t>提供《能源评审报告》2022年12月</w:t>
            </w:r>
          </w:p>
          <w:p>
            <w:pPr>
              <w:pStyle w:val="21"/>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val="0"/>
                <w:spacing w:val="0"/>
                <w:kern w:val="2"/>
                <w:sz w:val="21"/>
                <w:szCs w:val="22"/>
                <w:lang w:val="en-US" w:eastAsia="zh-CN" w:bidi="ar-SA"/>
              </w:rPr>
              <w:t>基本满足要求。</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shd w:val="clear" w:color="auto" w:fill="auto"/>
            <w:vAlign w:val="top"/>
          </w:tcPr>
          <w:p>
            <w:pPr>
              <w:rPr>
                <w:rFonts w:ascii="Times New Roman" w:hAnsi="Times New Roman" w:eastAsia="宋体" w:cs="Times New Roman"/>
                <w:kern w:val="2"/>
                <w:sz w:val="21"/>
                <w:lang w:val="en-US" w:eastAsia="zh-CN" w:bidi="ar-SA"/>
              </w:rPr>
            </w:pPr>
            <w:r>
              <w:t>能源绩效参数</w:t>
            </w:r>
          </w:p>
        </w:tc>
        <w:tc>
          <w:tcPr>
            <w:tcW w:w="1216" w:type="dxa"/>
            <w:shd w:val="clear" w:color="auto" w:fill="auto"/>
            <w:vAlign w:val="top"/>
          </w:tcPr>
          <w:p>
            <w:pPr>
              <w:rPr>
                <w:rFonts w:ascii="Times New Roman" w:hAnsi="Times New Roman" w:eastAsia="宋体" w:cs="Times New Roman"/>
                <w:kern w:val="2"/>
                <w:sz w:val="21"/>
                <w:lang w:val="en-US" w:eastAsia="zh-CN" w:bidi="ar-SA"/>
              </w:rPr>
            </w:pPr>
            <w:r>
              <w:rPr>
                <w:rFonts w:hint="eastAsia"/>
                <w:color w:val="000000"/>
                <w:szCs w:val="21"/>
              </w:rPr>
              <w:t>En6.4</w:t>
            </w: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shd w:val="clear" w:color="auto" w:fill="auto"/>
            <w:vAlign w:val="top"/>
          </w:tcPr>
          <w:p>
            <w:pPr>
              <w:jc w:val="left"/>
              <w:rPr>
                <w:rFonts w:hint="default" w:cs="Times New Roman" w:asciiTheme="majorEastAsia" w:hAnsiTheme="majorEastAsia" w:eastAsiaTheme="majorEastAsia"/>
                <w:kern w:val="2"/>
                <w:sz w:val="21"/>
                <w:lang w:val="en-US" w:eastAsia="zh-CN" w:bidi="ar-SA"/>
              </w:rPr>
            </w:pPr>
            <w:r>
              <w:rPr>
                <w:rFonts w:hint="eastAsia"/>
              </w:rPr>
              <w:t>如：手册第</w:t>
            </w:r>
            <w:r>
              <w:rPr>
                <w:rFonts w:hint="eastAsia"/>
                <w:lang w:val="en-US" w:eastAsia="zh-CN"/>
              </w:rPr>
              <w:t>6.4</w:t>
            </w:r>
            <w:r>
              <w:rPr>
                <w:rFonts w:hint="eastAsia"/>
              </w:rPr>
              <w:t>条款、《</w:t>
            </w:r>
            <w:r>
              <w:rPr>
                <w:rFonts w:hint="eastAsia"/>
                <w:color w:val="000000"/>
                <w:szCs w:val="21"/>
              </w:rPr>
              <w:t>能源评审管理程序</w:t>
            </w:r>
            <w:r>
              <w:rPr>
                <w:rFonts w:hint="eastAsia"/>
              </w:rPr>
              <w:t>》</w:t>
            </w:r>
          </w:p>
        </w:tc>
        <w:tc>
          <w:tcPr>
            <w:tcW w:w="1293" w:type="dxa"/>
            <w:vMerge w:val="restart"/>
            <w:shd w:val="clear" w:color="auto" w:fill="auto"/>
          </w:tcPr>
          <w:p>
            <w:r>
              <w:rPr/>
              <w:sym w:font="Wingdings" w:char="00FE"/>
            </w:r>
            <w:r>
              <w:rPr>
                <w:rFonts w:hint="eastAsia"/>
              </w:rPr>
              <w:t>符合</w:t>
            </w:r>
          </w:p>
          <w:p>
            <w:pPr>
              <w:rPr>
                <w:highlight w:val="none"/>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shd w:val="clear" w:color="auto" w:fill="auto"/>
            <w:vAlign w:val="top"/>
          </w:tcPr>
          <w:p>
            <w:pPr>
              <w:rPr>
                <w:rFonts w:ascii="Times New Roman" w:hAnsi="Times New Roman" w:eastAsia="宋体" w:cs="Times New Roman"/>
                <w:kern w:val="2"/>
                <w:sz w:val="21"/>
                <w:lang w:val="en-US" w:eastAsia="zh-CN" w:bidi="ar-SA"/>
              </w:rPr>
            </w:pPr>
          </w:p>
        </w:tc>
        <w:tc>
          <w:tcPr>
            <w:tcW w:w="1216" w:type="dxa"/>
            <w:shd w:val="clear" w:color="auto" w:fill="auto"/>
            <w:vAlign w:val="top"/>
          </w:tcPr>
          <w:p>
            <w:pPr>
              <w:rPr>
                <w:rFonts w:ascii="Times New Roman" w:hAnsi="Times New Roman" w:eastAsia="宋体" w:cs="Times New Roman"/>
                <w:kern w:val="2"/>
                <w:sz w:val="21"/>
                <w:lang w:val="en-US" w:eastAsia="zh-CN" w:bidi="ar-SA"/>
              </w:rPr>
            </w:pP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shd w:val="clear" w:color="auto" w:fill="auto"/>
            <w:vAlign w:val="top"/>
          </w:tcPr>
          <w:p>
            <w:pPr>
              <w:jc w:val="left"/>
              <w:rPr>
                <w:rFonts w:hint="eastAsia" w:asciiTheme="majorEastAsia" w:hAnsiTheme="majorEastAsia" w:eastAsiaTheme="majorEastAsia"/>
              </w:rPr>
            </w:pPr>
            <w:r>
              <w:rPr>
                <w:rFonts w:asciiTheme="majorEastAsia" w:hAnsiTheme="majorEastAsia" w:eastAsiaTheme="majorEastAsia"/>
              </w:rPr>
              <w:t>组织应确定能源绩效参数，这些能源绩效参数应：</w:t>
            </w:r>
          </w:p>
          <w:p>
            <w:pPr>
              <w:jc w:val="left"/>
              <w:rPr>
                <w:rFonts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）与监视和测量能源绩效相适宜；</w:t>
            </w:r>
            <w:r>
              <w:rPr>
                <w:rFonts w:hint="eastAsia" w:asciiTheme="majorEastAsia" w:hAnsiTheme="majorEastAsia" w:eastAsiaTheme="majorEastAsia"/>
              </w:rPr>
              <w:t>2</w:t>
            </w:r>
            <w:r>
              <w:rPr>
                <w:rFonts w:asciiTheme="majorEastAsia" w:hAnsiTheme="majorEastAsia" w:eastAsiaTheme="majorEastAsia"/>
              </w:rPr>
              <w:t>）使组织能够证实其能源绩效的改进。</w:t>
            </w:r>
          </w:p>
          <w:p>
            <w:pPr>
              <w:jc w:val="left"/>
              <w:rPr>
                <w:rFonts w:hint="eastAsia" w:asciiTheme="majorEastAsia" w:hAnsiTheme="majorEastAsia" w:eastAsiaTheme="majorEastAsia"/>
              </w:rPr>
            </w:pPr>
            <w:r>
              <w:rPr>
                <w:rFonts w:asciiTheme="majorEastAsia" w:hAnsiTheme="majorEastAsia" w:eastAsiaTheme="majorEastAsia"/>
              </w:rPr>
              <w:t>确定和更新能源绩效参数的方法应保持文件化信息。</w:t>
            </w:r>
          </w:p>
          <w:p>
            <w:pPr>
              <w:jc w:val="left"/>
              <w:rPr>
                <w:rFonts w:asciiTheme="majorEastAsia" w:hAnsiTheme="majorEastAsia" w:eastAsiaTheme="majorEastAsia"/>
              </w:rPr>
            </w:pPr>
            <w:r>
              <w:rPr>
                <w:rFonts w:asciiTheme="majorEastAsia" w:hAnsiTheme="majorEastAsia" w:eastAsiaTheme="majorEastAsia"/>
              </w:rPr>
              <w:t>当有数据显示相关变量显著影 响能源绩效时，应考虑这些数据以建立适当的能源绩效参数。</w:t>
            </w:r>
          </w:p>
          <w:p>
            <w:pPr>
              <w:jc w:val="left"/>
              <w:rPr>
                <w:rFonts w:asciiTheme="majorEastAsia" w:hAnsiTheme="majorEastAsia" w:eastAsiaTheme="majorEastAsia"/>
              </w:rPr>
            </w:pPr>
            <w:r>
              <w:rPr>
                <w:rFonts w:asciiTheme="majorEastAsia" w:hAnsiTheme="majorEastAsia" w:eastAsiaTheme="majorEastAsia"/>
              </w:rPr>
              <w:t>组织应评审其能源绩效参数值，并与相应的能源基准进行比较。组织应保留能源绩效参数值的文件化信息。</w:t>
            </w:r>
          </w:p>
          <w:p>
            <w:pPr>
              <w:pStyle w:val="16"/>
            </w:pPr>
          </w:p>
          <w:p>
            <w:pPr>
              <w:pStyle w:val="31"/>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firstLine="0" w:firstLineChars="0"/>
              <w:jc w:val="both"/>
              <w:textAlignment w:val="auto"/>
              <w:rPr>
                <w:rFonts w:hint="default" w:ascii="Times New Roman" w:hAnsi="Times New Roman" w:eastAsia="宋体" w:cs="Times New Roman"/>
                <w:kern w:val="2"/>
                <w:sz w:val="21"/>
                <w:szCs w:val="22"/>
                <w:highlight w:val="yellow"/>
                <w:u w:val="none"/>
                <w:shd w:val="clear"/>
                <w:lang w:val="en-US" w:eastAsia="zh-CN" w:bidi="ar-SA"/>
              </w:rPr>
            </w:pPr>
            <w:r>
              <w:rPr>
                <w:rFonts w:cs="Times New Roman" w:asciiTheme="majorEastAsia" w:hAnsiTheme="majorEastAsia" w:eastAsiaTheme="majorEastAsia"/>
                <w:kern w:val="2"/>
                <w:sz w:val="21"/>
                <w:szCs w:val="22"/>
                <w:lang w:val="en-US" w:eastAsia="zh-CN" w:bidi="ar-SA"/>
              </w:rPr>
              <w:t>能源绩效参数</w:t>
            </w:r>
            <w:r>
              <w:rPr>
                <w:rFonts w:hint="eastAsia" w:cs="Times New Roman" w:asciiTheme="majorEastAsia" w:hAnsiTheme="majorEastAsia" w:eastAsiaTheme="majorEastAsia"/>
                <w:kern w:val="2"/>
                <w:sz w:val="21"/>
                <w:szCs w:val="22"/>
                <w:lang w:val="en-US" w:eastAsia="zh-CN" w:bidi="ar-SA"/>
              </w:rPr>
              <w:t>：</w:t>
            </w:r>
            <w:r>
              <w:rPr>
                <w:rFonts w:hint="eastAsia" w:ascii="Times New Roman" w:hAnsi="Times New Roman" w:eastAsia="宋体" w:cs="Times New Roman"/>
                <w:kern w:val="2"/>
                <w:sz w:val="21"/>
                <w:szCs w:val="22"/>
                <w:highlight w:val="none"/>
                <w:u w:val="none"/>
                <w:shd w:val="clear"/>
                <w:lang w:val="en-US" w:eastAsia="zh-CN" w:bidi="ar-SA"/>
              </w:rPr>
              <w:t>单位建筑面积能耗</w:t>
            </w:r>
            <w:r>
              <w:rPr>
                <w:rFonts w:hint="eastAsia" w:ascii="Times New Roman" w:hAnsi="Times New Roman" w:cs="Times New Roman"/>
                <w:kern w:val="2"/>
                <w:sz w:val="21"/>
                <w:szCs w:val="22"/>
                <w:highlight w:val="none"/>
                <w:u w:val="none"/>
                <w:shd w:val="clear"/>
                <w:lang w:val="en-US" w:eastAsia="zh-CN" w:bidi="ar-SA"/>
              </w:rPr>
              <w:t xml:space="preserve">  </w:t>
            </w:r>
            <w:r>
              <w:rPr>
                <w:rFonts w:hint="eastAsia" w:ascii="Times New Roman" w:hAnsi="Times New Roman" w:eastAsia="宋体" w:cs="Times New Roman"/>
                <w:kern w:val="2"/>
                <w:sz w:val="21"/>
                <w:szCs w:val="22"/>
                <w:highlight w:val="none"/>
                <w:u w:val="none"/>
                <w:shd w:val="clear"/>
                <w:lang w:val="en-US" w:eastAsia="zh-CN" w:bidi="ar-SA"/>
              </w:rPr>
              <w:t>kgce/m</w:t>
            </w:r>
            <w:r>
              <w:rPr>
                <w:rFonts w:hint="eastAsia" w:ascii="Times New Roman" w:hAnsi="Times New Roman" w:eastAsia="宋体" w:cs="Times New Roman"/>
                <w:kern w:val="2"/>
                <w:sz w:val="21"/>
                <w:szCs w:val="22"/>
                <w:highlight w:val="none"/>
                <w:u w:val="none"/>
                <w:shd w:val="clear"/>
                <w:vertAlign w:val="superscript"/>
                <w:lang w:val="en-US" w:eastAsia="zh-CN" w:bidi="ar-SA"/>
              </w:rPr>
              <w:t>2</w:t>
            </w:r>
            <w:r>
              <w:rPr>
                <w:rFonts w:hint="eastAsia" w:ascii="Times New Roman" w:hAnsi="Times New Roman" w:eastAsia="宋体" w:cs="Times New Roman"/>
                <w:kern w:val="2"/>
                <w:sz w:val="21"/>
                <w:szCs w:val="22"/>
                <w:highlight w:val="none"/>
                <w:u w:val="none"/>
                <w:shd w:val="clear"/>
                <w:lang w:val="en-US" w:eastAsia="zh-CN" w:bidi="ar-SA"/>
              </w:rPr>
              <w:t>.a；人均综合能耗</w:t>
            </w:r>
            <w:r>
              <w:rPr>
                <w:rFonts w:hint="eastAsia" w:ascii="Times New Roman" w:hAnsi="Times New Roman" w:cs="Times New Roman"/>
                <w:kern w:val="2"/>
                <w:sz w:val="21"/>
                <w:szCs w:val="22"/>
                <w:highlight w:val="none"/>
                <w:u w:val="none"/>
                <w:shd w:val="clear"/>
                <w:lang w:val="en-US" w:eastAsia="zh-CN" w:bidi="ar-SA"/>
              </w:rPr>
              <w:t xml:space="preserve">  </w:t>
            </w:r>
            <w:r>
              <w:rPr>
                <w:rFonts w:hint="eastAsia" w:ascii="Times New Roman" w:hAnsi="Times New Roman" w:eastAsia="宋体" w:cs="Times New Roman"/>
                <w:kern w:val="2"/>
                <w:sz w:val="21"/>
                <w:szCs w:val="22"/>
                <w:highlight w:val="none"/>
                <w:u w:val="none"/>
                <w:shd w:val="clear"/>
                <w:lang w:val="en-US" w:eastAsia="zh-CN" w:bidi="ar-SA"/>
              </w:rPr>
              <w:t>kgce/人.年</w:t>
            </w:r>
          </w:p>
          <w:p>
            <w:pPr>
              <w:pStyle w:val="16"/>
              <w:ind w:left="0" w:leftChars="0" w:firstLine="0" w:firstLineChars="0"/>
              <w:rPr>
                <w:rFonts w:hint="eastAsia" w:cs="Times New Roman" w:asciiTheme="majorEastAsia" w:hAnsiTheme="majorEastAsia" w:eastAsiaTheme="majorEastAsia"/>
                <w:kern w:val="2"/>
                <w:sz w:val="21"/>
                <w:szCs w:val="22"/>
                <w:lang w:val="en-US" w:eastAsia="zh-CN" w:bidi="ar-SA"/>
              </w:rPr>
            </w:pPr>
          </w:p>
          <w:p>
            <w:pPr>
              <w:jc w:val="left"/>
              <w:rPr>
                <w:rFonts w:hint="default" w:cs="Times New Roman" w:asciiTheme="majorEastAsia" w:hAnsiTheme="majorEastAsia" w:eastAsiaTheme="majorEastAsia"/>
                <w:kern w:val="2"/>
                <w:sz w:val="21"/>
                <w:lang w:val="en-US" w:eastAsia="zh-CN" w:bidi="ar-SA"/>
              </w:rPr>
            </w:pP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shd w:val="clear" w:color="auto" w:fill="auto"/>
            <w:vAlign w:val="top"/>
          </w:tcPr>
          <w:p>
            <w:pPr>
              <w:rPr>
                <w:rFonts w:ascii="Times New Roman" w:hAnsi="Times New Roman" w:eastAsia="宋体" w:cs="Times New Roman"/>
                <w:kern w:val="2"/>
                <w:sz w:val="21"/>
                <w:lang w:val="en-US" w:eastAsia="zh-CN" w:bidi="ar-SA"/>
              </w:rPr>
            </w:pPr>
            <w:r>
              <w:t>能源基准</w:t>
            </w:r>
          </w:p>
          <w:p>
            <w:pPr>
              <w:rPr>
                <w:rFonts w:hint="default" w:ascii="Times New Roman" w:hAnsi="Times New Roman" w:eastAsia="宋体" w:cs="Times New Roman"/>
                <w:kern w:val="2"/>
                <w:sz w:val="21"/>
                <w:lang w:val="en-US" w:eastAsia="zh-CN" w:bidi="ar-SA"/>
              </w:rPr>
            </w:pPr>
          </w:p>
        </w:tc>
        <w:tc>
          <w:tcPr>
            <w:tcW w:w="1216" w:type="dxa"/>
            <w:shd w:val="clear" w:color="auto" w:fill="auto"/>
            <w:vAlign w:val="top"/>
          </w:tcPr>
          <w:p>
            <w:pPr>
              <w:rPr>
                <w:rFonts w:ascii="Times New Roman" w:hAnsi="Times New Roman" w:eastAsia="宋体" w:cs="Times New Roman"/>
                <w:kern w:val="2"/>
                <w:sz w:val="21"/>
                <w:lang w:val="en-US" w:eastAsia="zh-CN" w:bidi="ar-SA"/>
              </w:rPr>
            </w:pPr>
            <w:r>
              <w:rPr>
                <w:rFonts w:hint="eastAsia"/>
                <w:color w:val="000000"/>
                <w:szCs w:val="21"/>
              </w:rPr>
              <w:t>En6.5</w:t>
            </w:r>
          </w:p>
          <w:p>
            <w:pPr>
              <w:rPr>
                <w:rFonts w:hint="default" w:ascii="Times New Roman" w:hAnsi="Times New Roman" w:eastAsia="宋体" w:cs="Times New Roman"/>
                <w:kern w:val="2"/>
                <w:sz w:val="21"/>
                <w:lang w:val="en-US" w:eastAsia="zh-CN" w:bidi="ar-SA"/>
              </w:rPr>
            </w:pP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shd w:val="clear" w:color="auto" w:fill="auto"/>
            <w:vAlign w:val="top"/>
          </w:tcPr>
          <w:p>
            <w:pPr>
              <w:jc w:val="left"/>
              <w:rPr>
                <w:rFonts w:hint="default" w:cs="Times New Roman" w:asciiTheme="majorEastAsia" w:hAnsiTheme="majorEastAsia" w:eastAsiaTheme="majorEastAsia"/>
                <w:kern w:val="2"/>
                <w:sz w:val="21"/>
                <w:lang w:val="en-US" w:eastAsia="zh-CN" w:bidi="ar-SA"/>
              </w:rPr>
            </w:pPr>
            <w:r>
              <w:rPr>
                <w:rFonts w:hint="eastAsia"/>
              </w:rPr>
              <w:t>如：手册第</w:t>
            </w:r>
            <w:r>
              <w:rPr>
                <w:rFonts w:hint="eastAsia"/>
                <w:lang w:val="en-US" w:eastAsia="zh-CN"/>
              </w:rPr>
              <w:t>6.5</w:t>
            </w:r>
            <w:r>
              <w:rPr>
                <w:rFonts w:hint="eastAsia"/>
              </w:rPr>
              <w:t>条款、《</w:t>
            </w:r>
            <w:r>
              <w:rPr>
                <w:rFonts w:hint="eastAsia"/>
                <w:color w:val="000000"/>
                <w:szCs w:val="21"/>
              </w:rPr>
              <w:t>能源评审管理程序</w:t>
            </w:r>
            <w:r>
              <w:rPr>
                <w:rFonts w:hint="eastAsia"/>
              </w:rPr>
              <w:t>》</w:t>
            </w:r>
          </w:p>
        </w:tc>
        <w:tc>
          <w:tcPr>
            <w:tcW w:w="1293" w:type="dxa"/>
            <w:vMerge w:val="restart"/>
            <w:shd w:val="clear" w:color="auto" w:fill="auto"/>
          </w:tcPr>
          <w:p>
            <w:r>
              <w:rPr/>
              <w:sym w:font="Wingdings" w:char="00FE"/>
            </w:r>
            <w:r>
              <w:rPr>
                <w:rFonts w:hint="eastAsia"/>
              </w:rPr>
              <w:t>符合</w:t>
            </w:r>
          </w:p>
          <w:p>
            <w:pPr>
              <w:rPr>
                <w:highlight w:val="none"/>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shd w:val="clear" w:color="auto" w:fill="auto"/>
          </w:tcPr>
          <w:p>
            <w:pPr>
              <w:rPr>
                <w:highlight w:val="none"/>
              </w:rPr>
            </w:pPr>
          </w:p>
        </w:tc>
        <w:tc>
          <w:tcPr>
            <w:tcW w:w="1216" w:type="dxa"/>
            <w:shd w:val="clear" w:color="auto" w:fill="auto"/>
          </w:tcPr>
          <w:p>
            <w:pPr>
              <w:rPr>
                <w:highlight w:val="none"/>
              </w:rPr>
            </w:pP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shd w:val="clear" w:color="auto" w:fill="auto"/>
            <w:vAlign w:val="top"/>
          </w:tcPr>
          <w:p>
            <w:pPr>
              <w:jc w:val="left"/>
              <w:rPr>
                <w:rFonts w:hint="eastAsia" w:asciiTheme="majorEastAsia" w:hAnsiTheme="majorEastAsia" w:eastAsiaTheme="majorEastAsia"/>
              </w:rPr>
            </w:pPr>
            <w:r>
              <w:rPr>
                <w:rFonts w:asciiTheme="majorEastAsia" w:hAnsiTheme="majorEastAsia" w:eastAsiaTheme="majorEastAsia"/>
              </w:rPr>
              <w:t xml:space="preserve">使用能源评审的信息，并考虑适合的时间段，建立能源基准。 </w:t>
            </w:r>
          </w:p>
          <w:p>
            <w:pPr>
              <w:jc w:val="left"/>
              <w:rPr>
                <w:rFonts w:asciiTheme="majorEastAsia" w:hAnsiTheme="majorEastAsia" w:eastAsiaTheme="majorEastAsia"/>
              </w:rPr>
            </w:pPr>
            <w:r>
              <w:rPr>
                <w:rFonts w:asciiTheme="majorEastAsia" w:hAnsiTheme="majorEastAsia" w:eastAsiaTheme="majorEastAsia"/>
              </w:rPr>
              <w:t>当有数据显示相关变量显著影响能源绩效时，组织应对能源绩效参数和相应的能源基准进行归一化。</w:t>
            </w:r>
          </w:p>
          <w:p>
            <w:pPr>
              <w:jc w:val="left"/>
              <w:rPr>
                <w:rFonts w:hint="eastAsia" w:asciiTheme="majorEastAsia" w:hAnsiTheme="majorEastAsia" w:eastAsiaTheme="majorEastAsia"/>
              </w:rPr>
            </w:pPr>
            <w:r>
              <w:rPr>
                <w:rFonts w:asciiTheme="majorEastAsia" w:hAnsiTheme="majorEastAsia" w:eastAsiaTheme="majorEastAsia"/>
              </w:rPr>
              <w:t>根据</w:t>
            </w:r>
            <w:r>
              <w:rPr>
                <w:rFonts w:hint="eastAsia" w:asciiTheme="majorEastAsia" w:hAnsiTheme="majorEastAsia" w:eastAsiaTheme="majorEastAsia"/>
              </w:rPr>
              <w:t>企业</w:t>
            </w:r>
            <w:r>
              <w:rPr>
                <w:rFonts w:asciiTheme="majorEastAsia" w:hAnsiTheme="majorEastAsia" w:eastAsiaTheme="majorEastAsia"/>
              </w:rPr>
              <w:t xml:space="preserve">活动的性质，归一化可以是简单的调整，或者是更加复杂的过程。 当出现以下一种或多种情况时，应对能源基准进行调整： </w:t>
            </w:r>
          </w:p>
          <w:p>
            <w:pPr>
              <w:jc w:val="left"/>
              <w:rPr>
                <w:rFonts w:hint="eastAsia" w:asciiTheme="majorEastAsia" w:hAnsiTheme="majorEastAsia" w:eastAsiaTheme="majorEastAsia"/>
              </w:rPr>
            </w:pPr>
            <w:r>
              <w:rPr>
                <w:rFonts w:asciiTheme="majorEastAsia" w:hAnsiTheme="majorEastAsia" w:eastAsiaTheme="majorEastAsia"/>
              </w:rPr>
              <w:t xml:space="preserve">a）能源绩效参数不再能够反映组织的能源绩效时； </w:t>
            </w:r>
          </w:p>
          <w:p>
            <w:pPr>
              <w:jc w:val="left"/>
              <w:rPr>
                <w:rFonts w:hint="eastAsia" w:asciiTheme="majorEastAsia" w:hAnsiTheme="majorEastAsia" w:eastAsiaTheme="majorEastAsia"/>
              </w:rPr>
            </w:pPr>
            <w:r>
              <w:rPr>
                <w:rFonts w:asciiTheme="majorEastAsia" w:hAnsiTheme="majorEastAsia" w:eastAsiaTheme="majorEastAsia"/>
              </w:rPr>
              <w:t>b）静态因素发生重大变化时；</w:t>
            </w:r>
          </w:p>
          <w:p>
            <w:pPr>
              <w:jc w:val="left"/>
              <w:rPr>
                <w:rFonts w:asciiTheme="majorEastAsia" w:hAnsiTheme="majorEastAsia" w:eastAsiaTheme="majorEastAsia"/>
              </w:rPr>
            </w:pPr>
            <w:r>
              <w:rPr>
                <w:rFonts w:asciiTheme="majorEastAsia" w:hAnsiTheme="majorEastAsia" w:eastAsiaTheme="majorEastAsia"/>
              </w:rPr>
              <w:t>c）其他预先规定的情况。</w:t>
            </w:r>
          </w:p>
          <w:p>
            <w:pPr>
              <w:jc w:val="left"/>
              <w:rPr>
                <w:rFonts w:asciiTheme="majorEastAsia" w:hAnsiTheme="majorEastAsia" w:eastAsiaTheme="majorEastAsia"/>
              </w:rPr>
            </w:pPr>
            <w:r>
              <w:rPr>
                <w:rFonts w:asciiTheme="majorEastAsia" w:hAnsiTheme="majorEastAsia" w:eastAsiaTheme="majorEastAsia"/>
              </w:rPr>
              <w:t>组织应保留能源基准、相关变量数据和能源基准的修改的文件化信息。</w:t>
            </w:r>
          </w:p>
          <w:p>
            <w:pPr>
              <w:pStyle w:val="16"/>
            </w:pPr>
          </w:p>
          <w:p>
            <w:pPr>
              <w:pStyle w:val="31"/>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firstLine="0" w:firstLineChars="0"/>
              <w:jc w:val="both"/>
              <w:textAlignment w:val="auto"/>
              <w:rPr>
                <w:rFonts w:hint="eastAsia" w:cs="Times New Roman" w:asciiTheme="majorEastAsia" w:hAnsiTheme="majorEastAsia" w:eastAsiaTheme="majorEastAsia"/>
                <w:kern w:val="2"/>
                <w:sz w:val="21"/>
                <w:szCs w:val="22"/>
                <w:lang w:val="en-US" w:eastAsia="zh-CN" w:bidi="ar-SA"/>
              </w:rPr>
            </w:pPr>
            <w:r>
              <w:rPr>
                <w:rFonts w:hint="eastAsia" w:cs="Times New Roman" w:asciiTheme="majorEastAsia" w:hAnsiTheme="majorEastAsia" w:eastAsiaTheme="majorEastAsia"/>
                <w:kern w:val="2"/>
                <w:sz w:val="21"/>
                <w:szCs w:val="22"/>
                <w:lang w:val="en-US" w:eastAsia="zh-CN" w:bidi="ar-SA"/>
              </w:rPr>
              <w:t>能源基准期：2021年，单位建筑面积能耗5.3729kgce/m</w:t>
            </w:r>
            <w:r>
              <w:rPr>
                <w:rFonts w:hint="eastAsia" w:cs="Times New Roman" w:asciiTheme="majorEastAsia" w:hAnsiTheme="majorEastAsia" w:eastAsiaTheme="majorEastAsia"/>
                <w:kern w:val="2"/>
                <w:sz w:val="21"/>
                <w:szCs w:val="22"/>
                <w:vertAlign w:val="superscript"/>
                <w:lang w:val="en-US" w:eastAsia="zh-CN" w:bidi="ar-SA"/>
              </w:rPr>
              <w:t>2</w:t>
            </w:r>
            <w:r>
              <w:rPr>
                <w:rFonts w:hint="eastAsia" w:cs="Times New Roman" w:asciiTheme="majorEastAsia" w:hAnsiTheme="majorEastAsia" w:eastAsiaTheme="majorEastAsia"/>
                <w:kern w:val="2"/>
                <w:sz w:val="21"/>
                <w:szCs w:val="22"/>
                <w:lang w:val="en-US" w:eastAsia="zh-CN" w:bidi="ar-SA"/>
              </w:rPr>
              <w:t>.a；人均综合能耗33.3720kgce/人.年</w:t>
            </w:r>
          </w:p>
          <w:p>
            <w:pPr>
              <w:pStyle w:val="16"/>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cs="Times New Roman" w:asciiTheme="majorEastAsia" w:hAnsiTheme="majorEastAsia" w:eastAsiaTheme="majorEastAsia"/>
                <w:kern w:val="2"/>
                <w:sz w:val="21"/>
                <w:szCs w:val="22"/>
                <w:lang w:val="en-US" w:eastAsia="zh-CN" w:bidi="ar-SA"/>
              </w:rPr>
            </w:pPr>
            <w:r>
              <w:rPr>
                <w:rFonts w:hint="eastAsia" w:cs="Times New Roman" w:asciiTheme="majorEastAsia" w:hAnsiTheme="majorEastAsia" w:eastAsiaTheme="majorEastAsia"/>
                <w:kern w:val="2"/>
                <w:sz w:val="21"/>
                <w:szCs w:val="22"/>
                <w:lang w:val="en-US" w:eastAsia="zh-CN" w:bidi="ar-SA"/>
              </w:rPr>
              <w:t>2022年能源基准：单位建筑面积能耗5.3729kgce/m</w:t>
            </w:r>
            <w:r>
              <w:rPr>
                <w:rFonts w:hint="eastAsia" w:cs="Times New Roman" w:asciiTheme="majorEastAsia" w:hAnsiTheme="majorEastAsia" w:eastAsiaTheme="majorEastAsia"/>
                <w:kern w:val="2"/>
                <w:sz w:val="21"/>
                <w:szCs w:val="22"/>
                <w:vertAlign w:val="superscript"/>
                <w:lang w:val="en-US" w:eastAsia="zh-CN" w:bidi="ar-SA"/>
              </w:rPr>
              <w:t>2</w:t>
            </w:r>
            <w:r>
              <w:rPr>
                <w:rFonts w:hint="eastAsia" w:cs="Times New Roman" w:asciiTheme="majorEastAsia" w:hAnsiTheme="majorEastAsia" w:eastAsiaTheme="majorEastAsia"/>
                <w:kern w:val="2"/>
                <w:sz w:val="21"/>
                <w:szCs w:val="22"/>
                <w:lang w:val="en-US" w:eastAsia="zh-CN" w:bidi="ar-SA"/>
              </w:rPr>
              <w:t>.a；人均综合能耗33.3720kgce/人.年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0" w:leftChars="0" w:firstLine="0" w:firstLineChars="0"/>
              <w:jc w:val="left"/>
              <w:textAlignment w:val="auto"/>
              <w:rPr>
                <w:rFonts w:hint="default" w:cs="Times New Roman" w:asciiTheme="majorEastAsia" w:hAnsiTheme="majorEastAsia" w:eastAsiaTheme="majorEastAsia"/>
                <w:color w:val="021DE4"/>
                <w:kern w:val="2"/>
                <w:sz w:val="21"/>
                <w:lang w:val="en-US" w:eastAsia="zh-CN" w:bidi="ar-SA"/>
              </w:rPr>
            </w:pP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vMerge w:val="restart"/>
            <w:shd w:val="clear" w:color="auto" w:fill="auto"/>
            <w:vAlign w:val="top"/>
          </w:tcPr>
          <w:p>
            <w:pPr>
              <w:rPr>
                <w:rFonts w:ascii="Times New Roman" w:hAnsi="Times New Roman" w:eastAsia="宋体" w:cs="Times New Roman"/>
                <w:kern w:val="2"/>
                <w:sz w:val="21"/>
                <w:lang w:val="en-US" w:eastAsia="zh-CN" w:bidi="ar-SA"/>
              </w:rPr>
            </w:pPr>
            <w:r>
              <w:t>能源</w:t>
            </w:r>
            <w:r>
              <w:rPr>
                <w:rFonts w:hint="eastAsia"/>
              </w:rPr>
              <w:t>数据</w:t>
            </w:r>
            <w:r>
              <w:t>收集的策划</w:t>
            </w:r>
          </w:p>
        </w:tc>
        <w:tc>
          <w:tcPr>
            <w:tcW w:w="1216" w:type="dxa"/>
            <w:vMerge w:val="restart"/>
            <w:shd w:val="clear" w:color="auto" w:fill="auto"/>
            <w:vAlign w:val="top"/>
          </w:tcPr>
          <w:p>
            <w:pPr>
              <w:rPr>
                <w:rFonts w:ascii="Times New Roman" w:hAnsi="Times New Roman" w:eastAsia="宋体" w:cs="Times New Roman"/>
                <w:kern w:val="2"/>
                <w:sz w:val="21"/>
                <w:lang w:val="en-US" w:eastAsia="zh-CN" w:bidi="ar-SA"/>
              </w:rPr>
            </w:pPr>
            <w:r>
              <w:rPr>
                <w:rFonts w:hint="eastAsia"/>
                <w:color w:val="000000"/>
                <w:szCs w:val="21"/>
              </w:rPr>
              <w:t>En6.6</w:t>
            </w: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shd w:val="clear" w:color="auto" w:fill="auto"/>
            <w:vAlign w:val="top"/>
          </w:tcPr>
          <w:p>
            <w:pPr>
              <w:jc w:val="left"/>
              <w:rPr>
                <w:rFonts w:hint="default" w:cs="Times New Roman" w:asciiTheme="majorEastAsia" w:hAnsiTheme="majorEastAsia" w:eastAsiaTheme="majorEastAsia"/>
                <w:kern w:val="2"/>
                <w:sz w:val="21"/>
                <w:lang w:val="en-US" w:eastAsia="zh-CN" w:bidi="ar-SA"/>
              </w:rPr>
            </w:pPr>
            <w:r>
              <w:rPr>
                <w:rFonts w:hint="eastAsia"/>
              </w:rPr>
              <w:t>如：手册第</w:t>
            </w:r>
            <w:r>
              <w:rPr>
                <w:rFonts w:hint="eastAsia"/>
                <w:lang w:val="en-US" w:eastAsia="zh-CN"/>
              </w:rPr>
              <w:t>6.6</w:t>
            </w:r>
            <w:r>
              <w:rPr>
                <w:rFonts w:hint="eastAsia"/>
              </w:rPr>
              <w:t>条款、《</w:t>
            </w:r>
            <w:r>
              <w:rPr>
                <w:rFonts w:hint="eastAsia"/>
                <w:color w:val="000000"/>
                <w:szCs w:val="21"/>
              </w:rPr>
              <w:t>能源评审管理程序</w:t>
            </w:r>
            <w:r>
              <w:rPr>
                <w:rFonts w:hint="eastAsia"/>
              </w:rPr>
              <w:t>》</w:t>
            </w:r>
          </w:p>
        </w:tc>
        <w:tc>
          <w:tcPr>
            <w:tcW w:w="1293" w:type="dxa"/>
            <w:vMerge w:val="restart"/>
            <w:shd w:val="clear" w:color="auto" w:fill="auto"/>
          </w:tcPr>
          <w:p>
            <w:r>
              <w:rPr/>
              <w:sym w:font="Wingdings" w:char="00FE"/>
            </w:r>
            <w:r>
              <w:rPr>
                <w:rFonts w:hint="eastAsia"/>
              </w:rPr>
              <w:t>符合</w:t>
            </w:r>
          </w:p>
          <w:p>
            <w:pPr>
              <w:rPr>
                <w:highlight w:val="none"/>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shd w:val="clear" w:color="auto" w:fill="auto"/>
            <w:vAlign w:val="top"/>
          </w:tcPr>
          <w:p>
            <w:pPr>
              <w:jc w:val="left"/>
              <w:rPr>
                <w:rFonts w:hint="eastAsia"/>
              </w:rPr>
            </w:pPr>
            <w:r>
              <w:t>企业应确保对其运行中的影响能源绩效的关键特性在规定的时间间隔内进行识别、监视、测 量和分析。</w:t>
            </w:r>
          </w:p>
          <w:p>
            <w:pPr>
              <w:jc w:val="left"/>
            </w:pPr>
            <w:r>
              <w:t>应制定和实施能源数据收集计划，计划应与企业的规模、复杂程度、资源及监视和测量设备相适应。计划应明确监视关键特性必要的数据，且应明确以何种方式、何种 频次对数据进行收集和保留。</w:t>
            </w:r>
          </w:p>
          <w:p>
            <w:pPr>
              <w:jc w:val="left"/>
            </w:pPr>
            <w:r>
              <w:t>所收集数据（或适用时通过测量获取）和保留的文件化信息</w:t>
            </w:r>
            <w:r>
              <w:rPr>
                <w:rFonts w:hint="eastAsia"/>
              </w:rPr>
              <w:t>。</w:t>
            </w:r>
            <w:r>
              <w:t>应包括：</w:t>
            </w:r>
          </w:p>
          <w:p>
            <w:pPr>
              <w:numPr>
                <w:ilvl w:val="0"/>
                <w:numId w:val="3"/>
              </w:numPr>
              <w:jc w:val="left"/>
              <w:rPr>
                <w:rFonts w:hint="eastAsia"/>
                <w:lang w:val="en-US" w:eastAsia="zh-CN"/>
              </w:rPr>
            </w:pPr>
            <w:r>
              <w:t>主要能源使用的相关变量；</w:t>
            </w:r>
            <w:r>
              <w:rPr>
                <w:rFonts w:hint="eastAsia"/>
                <w:lang w:val="en-US" w:eastAsia="zh-CN"/>
              </w:rPr>
              <w:t xml:space="preserve">            </w:t>
            </w:r>
            <w:r>
              <w:rPr>
                <w:rFonts w:hint="eastAsia"/>
              </w:rPr>
              <w:sym w:font="Wingdings" w:char="00FE"/>
            </w:r>
            <w:r>
              <w:rPr>
                <w:rFonts w:hint="eastAsia"/>
                <w:lang w:val="en-US" w:eastAsia="zh-CN"/>
              </w:rPr>
              <w:t>有；</w:t>
            </w:r>
            <w:r>
              <w:rPr>
                <w:rFonts w:hint="eastAsia"/>
              </w:rPr>
              <w:sym w:font="Wingdings" w:char="00A8"/>
            </w:r>
            <w:r>
              <w:rPr>
                <w:rFonts w:hint="eastAsia"/>
                <w:lang w:val="en-US" w:eastAsia="zh-CN"/>
              </w:rPr>
              <w:t>无，说明：</w:t>
            </w:r>
            <w:r>
              <w:rPr>
                <w:rFonts w:hint="eastAsia"/>
                <w:u w:val="single"/>
                <w:lang w:val="en-US" w:eastAsia="zh-CN"/>
              </w:rPr>
              <w:t xml:space="preserve">            </w:t>
            </w:r>
          </w:p>
          <w:p>
            <w:pPr>
              <w:numPr>
                <w:ilvl w:val="0"/>
                <w:numId w:val="3"/>
              </w:numPr>
              <w:jc w:val="left"/>
              <w:rPr>
                <w:rFonts w:hint="eastAsia"/>
              </w:rPr>
            </w:pPr>
            <w:r>
              <w:t>与主要能源使用和组织相关的能源消耗；</w:t>
            </w:r>
            <w:r>
              <w:rPr>
                <w:rFonts w:hint="eastAsia"/>
              </w:rPr>
              <w:sym w:font="Wingdings" w:char="00FE"/>
            </w:r>
            <w:r>
              <w:rPr>
                <w:rFonts w:hint="eastAsia"/>
                <w:lang w:val="en-US" w:eastAsia="zh-CN"/>
              </w:rPr>
              <w:t>有；</w:t>
            </w:r>
            <w:r>
              <w:rPr>
                <w:rFonts w:hint="eastAsia"/>
              </w:rPr>
              <w:sym w:font="Wingdings" w:char="00A8"/>
            </w:r>
            <w:r>
              <w:rPr>
                <w:rFonts w:hint="eastAsia"/>
                <w:lang w:val="en-US" w:eastAsia="zh-CN"/>
              </w:rPr>
              <w:t>无，说明：</w:t>
            </w:r>
            <w:r>
              <w:rPr>
                <w:rFonts w:hint="eastAsia"/>
                <w:u w:val="single"/>
                <w:lang w:val="en-US" w:eastAsia="zh-CN"/>
              </w:rPr>
              <w:t xml:space="preserve">                   </w:t>
            </w:r>
            <w:r>
              <w:t xml:space="preserve"> </w:t>
            </w:r>
          </w:p>
          <w:p>
            <w:pPr>
              <w:numPr>
                <w:ilvl w:val="0"/>
                <w:numId w:val="3"/>
              </w:numPr>
              <w:ind w:left="0" w:leftChars="0" w:firstLine="0" w:firstLineChars="0"/>
              <w:jc w:val="left"/>
              <w:rPr>
                <w:rFonts w:hint="eastAsia"/>
                <w:u w:val="single"/>
                <w:lang w:val="en-US" w:eastAsia="zh-CN"/>
              </w:rPr>
            </w:pPr>
            <w:r>
              <w:t>与主要能源使用相关的运行准则；</w:t>
            </w:r>
            <w:r>
              <w:rPr>
                <w:rFonts w:hint="eastAsia"/>
                <w:lang w:val="en-US" w:eastAsia="zh-CN"/>
              </w:rPr>
              <w:t xml:space="preserve">     </w:t>
            </w:r>
            <w:r>
              <w:t xml:space="preserve"> </w:t>
            </w:r>
            <w:r>
              <w:rPr>
                <w:rFonts w:hint="eastAsia"/>
              </w:rPr>
              <w:sym w:font="Wingdings" w:char="00FE"/>
            </w:r>
            <w:r>
              <w:rPr>
                <w:rFonts w:hint="eastAsia"/>
                <w:lang w:val="en-US" w:eastAsia="zh-CN"/>
              </w:rPr>
              <w:t>有；</w:t>
            </w:r>
            <w:r>
              <w:rPr>
                <w:rFonts w:hint="eastAsia"/>
              </w:rPr>
              <w:sym w:font="Wingdings" w:char="00A8"/>
            </w:r>
            <w:r>
              <w:rPr>
                <w:rFonts w:hint="eastAsia"/>
                <w:lang w:val="en-US" w:eastAsia="zh-CN"/>
              </w:rPr>
              <w:t>无，说明：</w:t>
            </w:r>
            <w:r>
              <w:rPr>
                <w:rFonts w:hint="eastAsia"/>
                <w:u w:val="single"/>
                <w:lang w:val="en-US" w:eastAsia="zh-CN"/>
              </w:rPr>
              <w:t xml:space="preserve">                   </w:t>
            </w:r>
          </w:p>
          <w:p>
            <w:pPr>
              <w:numPr>
                <w:ilvl w:val="0"/>
                <w:numId w:val="3"/>
              </w:numPr>
              <w:ind w:left="0" w:leftChars="0" w:firstLine="0" w:firstLineChars="0"/>
              <w:jc w:val="left"/>
              <w:rPr>
                <w:rFonts w:hint="eastAsia"/>
              </w:rPr>
            </w:pPr>
            <w:r>
              <w:t>适用时，静态因素；</w:t>
            </w:r>
            <w:r>
              <w:rPr>
                <w:rFonts w:hint="eastAsia"/>
                <w:lang w:val="en-US" w:eastAsia="zh-CN"/>
              </w:rPr>
              <w:t xml:space="preserve">                  </w:t>
            </w:r>
            <w:r>
              <w:rPr>
                <w:rFonts w:hint="eastAsia"/>
              </w:rPr>
              <w:sym w:font="Wingdings" w:char="00FE"/>
            </w:r>
            <w:r>
              <w:rPr>
                <w:rFonts w:hint="eastAsia"/>
                <w:lang w:val="en-US" w:eastAsia="zh-CN"/>
              </w:rPr>
              <w:t>有；</w:t>
            </w:r>
            <w:r>
              <w:rPr>
                <w:rFonts w:hint="eastAsia"/>
              </w:rPr>
              <w:sym w:font="Wingdings" w:char="00A8"/>
            </w:r>
            <w:r>
              <w:rPr>
                <w:rFonts w:hint="eastAsia"/>
                <w:lang w:val="en-US" w:eastAsia="zh-CN"/>
              </w:rPr>
              <w:t>无，说明：</w:t>
            </w:r>
            <w:r>
              <w:rPr>
                <w:rFonts w:hint="eastAsia"/>
                <w:u w:val="single"/>
                <w:lang w:val="en-US" w:eastAsia="zh-CN"/>
              </w:rPr>
              <w:t xml:space="preserve">             </w:t>
            </w:r>
            <w:r>
              <w:t xml:space="preserve"> </w:t>
            </w:r>
          </w:p>
          <w:p>
            <w:pPr>
              <w:jc w:val="left"/>
            </w:pPr>
            <w:r>
              <w:t>e）实施方案中特定的数据。</w:t>
            </w:r>
            <w:r>
              <w:rPr>
                <w:rFonts w:hint="eastAsia"/>
                <w:lang w:val="en-US" w:eastAsia="zh-CN"/>
              </w:rPr>
              <w:t xml:space="preserve">              </w:t>
            </w:r>
            <w:r>
              <w:rPr>
                <w:rFonts w:hint="eastAsia"/>
              </w:rPr>
              <w:sym w:font="Wingdings" w:char="00FE"/>
            </w:r>
            <w:r>
              <w:rPr>
                <w:rFonts w:hint="eastAsia"/>
                <w:lang w:val="en-US" w:eastAsia="zh-CN"/>
              </w:rPr>
              <w:t>有；</w:t>
            </w:r>
            <w:r>
              <w:rPr>
                <w:rFonts w:hint="eastAsia"/>
              </w:rPr>
              <w:sym w:font="Wingdings" w:char="00A8"/>
            </w:r>
            <w:r>
              <w:rPr>
                <w:rFonts w:hint="eastAsia"/>
                <w:lang w:val="en-US" w:eastAsia="zh-CN"/>
              </w:rPr>
              <w:t>无，说明：</w:t>
            </w:r>
            <w:r>
              <w:rPr>
                <w:rFonts w:hint="eastAsia"/>
                <w:u w:val="single"/>
                <w:lang w:val="en-US" w:eastAsia="zh-CN"/>
              </w:rPr>
              <w:t xml:space="preserve">                   </w:t>
            </w:r>
          </w:p>
          <w:p>
            <w:pPr>
              <w:jc w:val="left"/>
              <w:rPr>
                <w:rFonts w:hint="eastAsia" w:ascii="Times New Roman" w:hAnsi="Times New Roman" w:eastAsia="宋体" w:cs="Times New Roman"/>
                <w:kern w:val="2"/>
                <w:sz w:val="21"/>
                <w:szCs w:val="22"/>
                <w:lang w:val="en-US" w:eastAsia="zh-CN" w:bidi="ar-SA"/>
              </w:rPr>
            </w:pPr>
            <w:r>
              <w:t>能源数据收集计划应按规定的时间间隔进行评审，并在适用时更新。 企业应确保用于测量关键特性的设备所提供的数据是准确、可重现的。组织应保留测量、监视和其他确立准确度和可重复性的方法的文件化信息。</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公司能源数据情况：</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color w:val="0000FF"/>
                <w:kern w:val="2"/>
                <w:sz w:val="21"/>
                <w:szCs w:val="22"/>
                <w:lang w:val="en-US" w:eastAsia="zh-CN" w:bidi="ar-SA"/>
              </w:rPr>
            </w:pPr>
            <w:r>
              <w:rPr>
                <w:rFonts w:hint="eastAsia" w:ascii="Times New Roman" w:hAnsi="Times New Roman" w:eastAsia="宋体" w:cs="Times New Roman"/>
                <w:szCs w:val="22"/>
                <w:lang w:val="en-US" w:eastAsia="zh-CN"/>
              </w:rPr>
              <w:t>每月对水的数据进行收集，统计，分析，对出现的异常数据查找原因进行整改。</w:t>
            </w:r>
          </w:p>
          <w:p>
            <w:pPr>
              <w:pStyle w:val="16"/>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default" w:ascii="Times New Roman" w:hAnsi="Times New Roman" w:eastAsia="宋体" w:cs="Times New Roman"/>
                <w:kern w:val="2"/>
                <w:sz w:val="21"/>
                <w:szCs w:val="22"/>
                <w:highlight w:val="yellow"/>
                <w:lang w:val="en-US" w:eastAsia="zh-CN" w:bidi="ar-SA"/>
              </w:rPr>
            </w:pPr>
            <w:r>
              <w:rPr>
                <w:rFonts w:hint="eastAsia" w:ascii="Times New Roman" w:hAnsi="Times New Roman" w:eastAsia="宋体" w:cs="Times New Roman"/>
                <w:kern w:val="2"/>
                <w:sz w:val="21"/>
                <w:szCs w:val="22"/>
                <w:lang w:val="en-US" w:eastAsia="zh-CN" w:bidi="ar-SA"/>
              </w:rPr>
              <w:t>贸易结算的电表：1块，水表：1块。水表、电表为智能电表由电力部门统一负责安装和检定，统一管理。水表由税务部门安装并检定。</w:t>
            </w:r>
          </w:p>
          <w:p>
            <w:pPr>
              <w:pStyle w:val="21"/>
            </w:pPr>
            <w:r>
              <w:drawing>
                <wp:inline distT="0" distB="0" distL="114300" distR="114300">
                  <wp:extent cx="5464175" cy="1435735"/>
                  <wp:effectExtent l="0" t="0" r="9525" b="1206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5464175" cy="1435735"/>
                          </a:xfrm>
                          <a:prstGeom prst="rect">
                            <a:avLst/>
                          </a:prstGeom>
                          <a:noFill/>
                          <a:ln>
                            <a:noFill/>
                          </a:ln>
                        </pic:spPr>
                      </pic:pic>
                    </a:graphicData>
                  </a:graphic>
                </wp:inline>
              </w:drawing>
            </w:r>
          </w:p>
          <w:p>
            <w:pPr>
              <w:pStyle w:val="21"/>
              <w:rPr>
                <w:rFonts w:hint="default"/>
                <w:lang w:val="en-US" w:eastAsia="zh-CN"/>
              </w:rPr>
            </w:pPr>
            <w:r>
              <w:rPr>
                <w:rFonts w:hint="eastAsia" w:ascii="Times New Roman" w:hAnsi="Times New Roman" w:eastAsia="宋体" w:cs="Times New Roman"/>
                <w:color w:val="0000FF"/>
                <w:kern w:val="2"/>
                <w:sz w:val="21"/>
                <w:szCs w:val="22"/>
                <w:lang w:val="en-US" w:eastAsia="zh-CN" w:bidi="ar-SA"/>
              </w:rPr>
              <w:t>用于贸易结算的能源计量主要供电局供水、供天然气的部门安装并进行计量，</w:t>
            </w:r>
            <w:r>
              <w:rPr>
                <w:rFonts w:hint="eastAsia" w:cs="Times New Roman"/>
                <w:color w:val="0000FF"/>
                <w:kern w:val="2"/>
                <w:sz w:val="21"/>
                <w:szCs w:val="22"/>
                <w:lang w:val="en-US" w:eastAsia="zh-CN" w:bidi="ar-SA"/>
              </w:rPr>
              <w:t>未提供相关证书或检定报告，另合同约定也未提供——问题观察项</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shd w:val="clear" w:color="auto" w:fill="auto"/>
            <w:vAlign w:val="top"/>
          </w:tcPr>
          <w:p>
            <w:pPr>
              <w:rPr>
                <w:rFonts w:ascii="Times New Roman" w:hAnsi="Times New Roman" w:eastAsia="宋体" w:cs="Times New Roman"/>
                <w:kern w:val="2"/>
                <w:sz w:val="21"/>
                <w:highlight w:val="none"/>
                <w:lang w:val="en-US" w:eastAsia="zh-CN" w:bidi="ar-SA"/>
              </w:rPr>
            </w:pPr>
            <w:r>
              <w:rPr>
                <w:rFonts w:hint="eastAsia"/>
                <w:highlight w:val="none"/>
              </w:rPr>
              <w:t xml:space="preserve">沟通  </w:t>
            </w:r>
          </w:p>
        </w:tc>
        <w:tc>
          <w:tcPr>
            <w:tcW w:w="1216" w:type="dxa"/>
            <w:shd w:val="clear" w:color="auto" w:fill="auto"/>
            <w:vAlign w:val="top"/>
          </w:tcPr>
          <w:p>
            <w:pPr>
              <w:rPr>
                <w:highlight w:val="none"/>
              </w:rPr>
            </w:pPr>
            <w:r>
              <w:rPr>
                <w:rFonts w:hint="eastAsia"/>
                <w:highlight w:val="none"/>
                <w:lang w:val="en-US" w:eastAsia="zh-CN"/>
              </w:rPr>
              <w:t>En</w:t>
            </w:r>
            <w:r>
              <w:rPr>
                <w:rFonts w:hint="eastAsia"/>
                <w:highlight w:val="none"/>
              </w:rPr>
              <w:t xml:space="preserve">7.4 </w:t>
            </w:r>
          </w:p>
          <w:p>
            <w:pPr>
              <w:rPr>
                <w:rFonts w:ascii="Times New Roman" w:hAnsi="Times New Roman" w:eastAsia="宋体" w:cs="Times New Roman"/>
                <w:kern w:val="2"/>
                <w:sz w:val="21"/>
                <w:highlight w:val="none"/>
                <w:lang w:val="en-US" w:eastAsia="zh-CN" w:bidi="ar-SA"/>
              </w:rPr>
            </w:pPr>
          </w:p>
        </w:tc>
        <w:tc>
          <w:tcPr>
            <w:tcW w:w="716"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文件名称</w:t>
            </w:r>
          </w:p>
        </w:tc>
        <w:tc>
          <w:tcPr>
            <w:tcW w:w="9766" w:type="dxa"/>
            <w:shd w:val="clear" w:color="auto" w:fill="auto"/>
            <w:vAlign w:val="top"/>
          </w:tcPr>
          <w:p>
            <w:pPr>
              <w:rPr>
                <w:rFonts w:hint="eastAsia"/>
              </w:rPr>
            </w:pPr>
            <w:r>
              <w:rPr/>
              <w:sym w:font="Wingdings" w:char="00FE"/>
            </w:r>
            <w:r>
              <w:rPr>
                <w:rFonts w:hint="eastAsia"/>
              </w:rPr>
              <w:t>管理手册7.4条款、</w:t>
            </w:r>
            <w:r>
              <w:rPr/>
              <w:sym w:font="Wingdings" w:char="00FE"/>
            </w:r>
            <w:r>
              <w:rPr>
                <w:rFonts w:hint="eastAsia"/>
              </w:rPr>
              <w:t>《信息沟通控制程序》</w:t>
            </w:r>
          </w:p>
          <w:p>
            <w:pPr>
              <w:pStyle w:val="2"/>
              <w:rPr>
                <w:rFonts w:hint="default" w:ascii="Times New Roman" w:hAnsi="Times New Roman" w:eastAsia="Times New Roman" w:cs="Times New Roman"/>
                <w:color w:val="000000"/>
                <w:spacing w:val="-3"/>
                <w:sz w:val="24"/>
                <w:szCs w:val="24"/>
                <w:highlight w:val="none"/>
                <w:lang w:val="en-US" w:eastAsia="zh-CN" w:bidi="ar-SA"/>
              </w:rPr>
            </w:pPr>
          </w:p>
        </w:tc>
        <w:tc>
          <w:tcPr>
            <w:tcW w:w="1293" w:type="dxa"/>
            <w:vMerge w:val="restart"/>
            <w:shd w:val="clear" w:color="auto" w:fill="auto"/>
          </w:tcPr>
          <w:p>
            <w:r>
              <w:rPr/>
              <w:sym w:font="Wingdings" w:char="00FE"/>
            </w:r>
            <w:r>
              <w:rPr>
                <w:rFonts w:hint="eastAsia"/>
              </w:rPr>
              <w:t>符合</w:t>
            </w:r>
          </w:p>
          <w:p>
            <w:pPr>
              <w:rPr>
                <w:highlight w:val="none"/>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226" w:type="dxa"/>
            <w:shd w:val="clear" w:color="auto" w:fill="auto"/>
            <w:vAlign w:val="top"/>
          </w:tcPr>
          <w:p>
            <w:pPr>
              <w:rPr>
                <w:rFonts w:ascii="Times New Roman" w:hAnsi="Times New Roman" w:eastAsia="宋体" w:cs="Times New Roman"/>
                <w:kern w:val="2"/>
                <w:sz w:val="21"/>
                <w:lang w:val="en-US" w:eastAsia="zh-CN" w:bidi="ar-SA"/>
              </w:rPr>
            </w:pPr>
          </w:p>
        </w:tc>
        <w:tc>
          <w:tcPr>
            <w:tcW w:w="1216" w:type="dxa"/>
            <w:shd w:val="clear" w:color="auto" w:fill="auto"/>
            <w:vAlign w:val="top"/>
          </w:tcPr>
          <w:p>
            <w:pPr>
              <w:rPr>
                <w:rFonts w:ascii="Times New Roman" w:hAnsi="Times New Roman" w:eastAsia="宋体" w:cs="Times New Roman"/>
                <w:kern w:val="2"/>
                <w:sz w:val="21"/>
                <w:lang w:val="en-US" w:eastAsia="zh-CN" w:bidi="ar-SA"/>
              </w:rPr>
            </w:pPr>
          </w:p>
        </w:tc>
        <w:tc>
          <w:tcPr>
            <w:tcW w:w="716"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运行证据</w:t>
            </w:r>
          </w:p>
        </w:tc>
        <w:tc>
          <w:tcPr>
            <w:tcW w:w="9766" w:type="dxa"/>
            <w:shd w:val="clear" w:color="auto" w:fill="auto"/>
            <w:vAlign w:val="top"/>
          </w:tcPr>
          <w:p>
            <w:pPr>
              <w:rPr>
                <w:rFonts w:hint="eastAsia"/>
              </w:rPr>
            </w:pPr>
          </w:p>
          <w:p>
            <w:r>
              <w:rPr>
                <w:rFonts w:hint="eastAsia"/>
              </w:rPr>
              <w:t>组织考虑了合规义务，确保信息与管理体系形成的信息一致且真实可信。</w:t>
            </w:r>
          </w:p>
          <w:p>
            <w:r>
              <w:rPr>
                <w:rFonts w:hint="eastAsia"/>
              </w:rPr>
              <w:t>外部沟通的控制：</w:t>
            </w:r>
          </w:p>
          <w:tbl>
            <w:tblPr>
              <w:tblStyle w:val="1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439"/>
              <w:gridCol w:w="2011"/>
              <w:gridCol w:w="1255"/>
              <w:gridCol w:w="1340"/>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r>
                    <w:t>沟通</w:t>
                  </w:r>
                  <w:r>
                    <w:rPr>
                      <w:rFonts w:hint="eastAsia"/>
                    </w:rPr>
                    <w:t>日期</w:t>
                  </w:r>
                </w:p>
              </w:tc>
              <w:tc>
                <w:tcPr>
                  <w:tcW w:w="1439" w:type="dxa"/>
                  <w:shd w:val="clear" w:color="auto" w:fill="auto"/>
                </w:tcPr>
                <w:p>
                  <w:r>
                    <w:t>沟通</w:t>
                  </w:r>
                  <w:r>
                    <w:rPr>
                      <w:rFonts w:hint="eastAsia"/>
                    </w:rPr>
                    <w:t>的内容</w:t>
                  </w:r>
                </w:p>
              </w:tc>
              <w:tc>
                <w:tcPr>
                  <w:tcW w:w="2011" w:type="dxa"/>
                  <w:shd w:val="clear" w:color="auto" w:fill="auto"/>
                </w:tcPr>
                <w:p>
                  <w:r>
                    <w:rPr>
                      <w:rFonts w:hint="eastAsia"/>
                    </w:rPr>
                    <w:t>沟通对象</w:t>
                  </w:r>
                </w:p>
              </w:tc>
              <w:tc>
                <w:tcPr>
                  <w:tcW w:w="1255" w:type="dxa"/>
                  <w:shd w:val="clear" w:color="auto" w:fill="auto"/>
                </w:tcPr>
                <w:p>
                  <w:r>
                    <w:rPr>
                      <w:rFonts w:hint="eastAsia"/>
                    </w:rPr>
                    <w:t>沟通方法</w:t>
                  </w:r>
                </w:p>
              </w:tc>
              <w:tc>
                <w:tcPr>
                  <w:tcW w:w="1340" w:type="dxa"/>
                  <w:shd w:val="clear" w:color="auto" w:fill="auto"/>
                </w:tcPr>
                <w:p>
                  <w:r>
                    <w:rPr>
                      <w:rFonts w:hint="eastAsia"/>
                    </w:rPr>
                    <w:t>责任部门</w:t>
                  </w:r>
                </w:p>
              </w:tc>
              <w:tc>
                <w:tcPr>
                  <w:tcW w:w="1603" w:type="dxa"/>
                  <w:shd w:val="clear" w:color="auto" w:fill="auto"/>
                </w:tcPr>
                <w:p>
                  <w:r>
                    <w:rPr>
                      <w:rFonts w:hint="eastAsia"/>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highlight w:val="none"/>
                    </w:rPr>
                  </w:pPr>
                  <w:r>
                    <w:rPr>
                      <w:rFonts w:hint="eastAsia"/>
                      <w:highlight w:val="none"/>
                    </w:rPr>
                    <w:t>2022年</w:t>
                  </w:r>
                  <w:r>
                    <w:rPr>
                      <w:rFonts w:hint="eastAsia"/>
                      <w:highlight w:val="none"/>
                      <w:lang w:val="en-US" w:eastAsia="zh-CN"/>
                    </w:rPr>
                    <w:t>11</w:t>
                  </w:r>
                  <w:r>
                    <w:rPr>
                      <w:rFonts w:hint="eastAsia"/>
                      <w:highlight w:val="none"/>
                    </w:rPr>
                    <w:t>月</w:t>
                  </w:r>
                </w:p>
              </w:tc>
              <w:tc>
                <w:tcPr>
                  <w:tcW w:w="1439" w:type="dxa"/>
                  <w:shd w:val="clear" w:color="auto" w:fill="auto"/>
                </w:tcPr>
                <w:p>
                  <w:pPr>
                    <w:rPr>
                      <w:rFonts w:hint="default" w:eastAsia="宋体"/>
                      <w:highlight w:val="none"/>
                      <w:lang w:val="en-US" w:eastAsia="zh-CN"/>
                    </w:rPr>
                  </w:pPr>
                  <w:r>
                    <w:rPr>
                      <w:rFonts w:hint="eastAsia"/>
                      <w:highlight w:val="none"/>
                      <w:lang w:val="en-US" w:eastAsia="zh-CN"/>
                    </w:rPr>
                    <w:t>领导来考察</w:t>
                  </w:r>
                </w:p>
              </w:tc>
              <w:tc>
                <w:tcPr>
                  <w:tcW w:w="2011" w:type="dxa"/>
                  <w:shd w:val="clear" w:color="auto" w:fill="auto"/>
                </w:tcPr>
                <w:p>
                  <w:pPr>
                    <w:rPr>
                      <w:rFonts w:hint="default" w:eastAsia="宋体"/>
                      <w:highlight w:val="none"/>
                      <w:lang w:val="en-US" w:eastAsia="zh-CN"/>
                    </w:rPr>
                  </w:pPr>
                  <w:r>
                    <w:rPr>
                      <w:rFonts w:hint="eastAsia"/>
                      <w:highlight w:val="none"/>
                      <w:lang w:val="en-US" w:eastAsia="zh-CN"/>
                    </w:rPr>
                    <w:t>产业发展中心</w:t>
                  </w:r>
                </w:p>
              </w:tc>
              <w:tc>
                <w:tcPr>
                  <w:tcW w:w="1255" w:type="dxa"/>
                  <w:shd w:val="clear" w:color="auto" w:fill="auto"/>
                </w:tcPr>
                <w:p>
                  <w:pPr>
                    <w:rPr>
                      <w:rFonts w:hint="eastAsia"/>
                      <w:lang w:eastAsia="zh-CN"/>
                    </w:rPr>
                  </w:pPr>
                  <w:r>
                    <w:rPr>
                      <w:rFonts w:hint="eastAsia"/>
                      <w:lang w:val="en-US" w:eastAsia="zh-CN"/>
                    </w:rPr>
                    <w:t>文件</w:t>
                  </w:r>
                </w:p>
              </w:tc>
              <w:tc>
                <w:tcPr>
                  <w:tcW w:w="1340" w:type="dxa"/>
                  <w:shd w:val="clear" w:color="auto" w:fill="auto"/>
                </w:tcPr>
                <w:p>
                  <w:pPr>
                    <w:rPr>
                      <w:rFonts w:hint="default"/>
                      <w:lang w:val="en-US" w:eastAsia="zh-CN"/>
                    </w:rPr>
                  </w:pPr>
                  <w:r>
                    <w:rPr>
                      <w:rFonts w:hint="eastAsia"/>
                      <w:lang w:val="en-US" w:eastAsia="zh-CN"/>
                    </w:rPr>
                    <w:t>接待一股</w:t>
                  </w:r>
                </w:p>
              </w:tc>
              <w:tc>
                <w:tcPr>
                  <w:tcW w:w="1603" w:type="dxa"/>
                  <w:shd w:val="clear" w:color="auto" w:fill="auto"/>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5" w:type="dxa"/>
                  <w:shd w:val="clear" w:color="auto" w:fill="auto"/>
                </w:tcPr>
                <w:p>
                  <w:pPr>
                    <w:rPr>
                      <w:rFonts w:hint="default"/>
                      <w:highlight w:val="none"/>
                      <w:lang w:val="en-US" w:eastAsia="zh-CN"/>
                    </w:rPr>
                  </w:pPr>
                  <w:r>
                    <w:rPr>
                      <w:rFonts w:hint="eastAsia"/>
                      <w:highlight w:val="none"/>
                    </w:rPr>
                    <w:t>2022年</w:t>
                  </w:r>
                  <w:r>
                    <w:rPr>
                      <w:rFonts w:hint="eastAsia"/>
                      <w:highlight w:val="none"/>
                      <w:lang w:val="en-US" w:eastAsia="zh-CN"/>
                    </w:rPr>
                    <w:t>12</w:t>
                  </w:r>
                  <w:r>
                    <w:rPr>
                      <w:rFonts w:hint="eastAsia"/>
                      <w:highlight w:val="none"/>
                    </w:rPr>
                    <w:t>月</w:t>
                  </w:r>
                  <w:r>
                    <w:rPr>
                      <w:rFonts w:hint="eastAsia"/>
                      <w:highlight w:val="none"/>
                      <w:lang w:val="en-US" w:eastAsia="zh-CN"/>
                    </w:rPr>
                    <w:t>30</w:t>
                  </w:r>
                  <w:r>
                    <w:rPr>
                      <w:rFonts w:hint="eastAsia"/>
                      <w:highlight w:val="none"/>
                    </w:rPr>
                    <w:t>日</w:t>
                  </w:r>
                </w:p>
              </w:tc>
              <w:tc>
                <w:tcPr>
                  <w:tcW w:w="1439" w:type="dxa"/>
                  <w:shd w:val="clear" w:color="auto" w:fill="auto"/>
                </w:tcPr>
                <w:p>
                  <w:pPr>
                    <w:rPr>
                      <w:rFonts w:hint="default" w:eastAsia="宋体"/>
                      <w:highlight w:val="none"/>
                      <w:lang w:val="en-US" w:eastAsia="zh-CN"/>
                    </w:rPr>
                  </w:pPr>
                  <w:r>
                    <w:rPr>
                      <w:rFonts w:hint="eastAsia"/>
                      <w:highlight w:val="none"/>
                      <w:lang w:val="en-US" w:eastAsia="zh-CN"/>
                    </w:rPr>
                    <w:t>领导来考察</w:t>
                  </w:r>
                </w:p>
              </w:tc>
              <w:tc>
                <w:tcPr>
                  <w:tcW w:w="2011" w:type="dxa"/>
                  <w:shd w:val="clear" w:color="auto" w:fill="auto"/>
                </w:tcPr>
                <w:p>
                  <w:pPr>
                    <w:rPr>
                      <w:rFonts w:hint="default"/>
                      <w:lang w:val="en-US" w:eastAsia="zh-CN"/>
                    </w:rPr>
                  </w:pPr>
                  <w:r>
                    <w:rPr>
                      <w:rFonts w:hint="eastAsia"/>
                      <w:lang w:val="en-US" w:eastAsia="zh-CN"/>
                    </w:rPr>
                    <w:t>发改局</w:t>
                  </w:r>
                </w:p>
              </w:tc>
              <w:tc>
                <w:tcPr>
                  <w:tcW w:w="1255" w:type="dxa"/>
                  <w:shd w:val="clear" w:color="auto" w:fill="auto"/>
                  <w:vAlign w:val="top"/>
                </w:tcPr>
                <w:p>
                  <w:pPr>
                    <w:rPr>
                      <w:rFonts w:hint="eastAsia"/>
                      <w:lang w:val="en-US" w:eastAsia="zh-CN"/>
                    </w:rPr>
                  </w:pPr>
                  <w:r>
                    <w:rPr>
                      <w:rFonts w:hint="eastAsia"/>
                      <w:lang w:val="en-US" w:eastAsia="zh-CN"/>
                    </w:rPr>
                    <w:t>文件</w:t>
                  </w:r>
                </w:p>
              </w:tc>
              <w:tc>
                <w:tcPr>
                  <w:tcW w:w="1340" w:type="dxa"/>
                  <w:shd w:val="clear" w:color="auto" w:fill="auto"/>
                  <w:vAlign w:val="top"/>
                </w:tcPr>
                <w:p>
                  <w:pPr>
                    <w:rPr>
                      <w:rFonts w:hint="eastAsia"/>
                      <w:lang w:val="en-US" w:eastAsia="zh-CN"/>
                    </w:rPr>
                  </w:pPr>
                  <w:r>
                    <w:rPr>
                      <w:rFonts w:hint="eastAsia"/>
                      <w:lang w:val="en-US" w:eastAsia="zh-CN"/>
                    </w:rPr>
                    <w:t>接待二股</w:t>
                  </w:r>
                </w:p>
              </w:tc>
              <w:tc>
                <w:tcPr>
                  <w:tcW w:w="1603" w:type="dxa"/>
                  <w:shd w:val="clear" w:color="auto" w:fill="auto"/>
                  <w:vAlign w:val="top"/>
                </w:tcPr>
                <w:p>
                  <w:pPr>
                    <w:rPr>
                      <w:rFonts w:hint="eastAsia"/>
                      <w:lang w:val="en-US" w:eastAsia="zh-CN"/>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每月</w:t>
                  </w:r>
                </w:p>
              </w:tc>
              <w:tc>
                <w:tcPr>
                  <w:tcW w:w="1439" w:type="dxa"/>
                  <w:shd w:val="clear" w:color="auto" w:fill="auto"/>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电费缴纳</w:t>
                  </w:r>
                </w:p>
              </w:tc>
              <w:tc>
                <w:tcPr>
                  <w:tcW w:w="2011" w:type="dxa"/>
                  <w:shd w:val="clear" w:color="auto" w:fill="auto"/>
                </w:tcPr>
                <w:p>
                  <w:pPr>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国网四川省电力公司宜宾市南溪供电分公司供给</w:t>
                  </w:r>
                </w:p>
              </w:tc>
              <w:tc>
                <w:tcPr>
                  <w:tcW w:w="1255" w:type="dxa"/>
                  <w:shd w:val="clear" w:color="auto" w:fill="auto"/>
                  <w:vAlign w:val="top"/>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电话沟通</w:t>
                  </w:r>
                </w:p>
              </w:tc>
              <w:tc>
                <w:tcPr>
                  <w:tcW w:w="1340" w:type="dxa"/>
                  <w:shd w:val="clear" w:color="auto" w:fill="auto"/>
                  <w:vAlign w:val="top"/>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综合股</w:t>
                  </w:r>
                </w:p>
              </w:tc>
              <w:tc>
                <w:tcPr>
                  <w:tcW w:w="1603" w:type="dxa"/>
                  <w:shd w:val="clear" w:color="auto" w:fill="auto"/>
                  <w:vAlign w:val="top"/>
                </w:tcPr>
                <w:p>
                  <w:pP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每月</w:t>
                  </w:r>
                </w:p>
              </w:tc>
              <w:tc>
                <w:tcPr>
                  <w:tcW w:w="1439" w:type="dxa"/>
                  <w:shd w:val="clear" w:color="auto" w:fill="auto"/>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水费缴纳</w:t>
                  </w:r>
                </w:p>
              </w:tc>
              <w:tc>
                <w:tcPr>
                  <w:tcW w:w="2011" w:type="dxa"/>
                  <w:shd w:val="clear" w:color="auto" w:fill="auto"/>
                </w:tcPr>
                <w:p>
                  <w:pPr>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宜宾市南溪区供水排水有限公司</w:t>
                  </w:r>
                </w:p>
              </w:tc>
              <w:tc>
                <w:tcPr>
                  <w:tcW w:w="1255" w:type="dxa"/>
                  <w:shd w:val="clear" w:color="auto" w:fill="auto"/>
                  <w:vAlign w:val="top"/>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电话沟通</w:t>
                  </w:r>
                </w:p>
              </w:tc>
              <w:tc>
                <w:tcPr>
                  <w:tcW w:w="1340" w:type="dxa"/>
                  <w:shd w:val="clear" w:color="auto" w:fill="auto"/>
                  <w:vAlign w:val="top"/>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综合股</w:t>
                  </w:r>
                </w:p>
              </w:tc>
              <w:tc>
                <w:tcPr>
                  <w:tcW w:w="1603" w:type="dxa"/>
                  <w:shd w:val="clear" w:color="auto" w:fill="auto"/>
                  <w:vAlign w:val="top"/>
                </w:tcPr>
                <w:p>
                  <w:pPr>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每月</w:t>
                  </w:r>
                </w:p>
              </w:tc>
              <w:tc>
                <w:tcPr>
                  <w:tcW w:w="1439" w:type="dxa"/>
                  <w:shd w:val="clear" w:color="auto" w:fill="auto"/>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天然气费用</w:t>
                  </w:r>
                </w:p>
              </w:tc>
              <w:tc>
                <w:tcPr>
                  <w:tcW w:w="2011" w:type="dxa"/>
                  <w:shd w:val="clear" w:color="auto" w:fill="auto"/>
                </w:tcPr>
                <w:p>
                  <w:pPr>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由宜宾市南溪区天然气有限公司</w:t>
                  </w:r>
                </w:p>
              </w:tc>
              <w:tc>
                <w:tcPr>
                  <w:tcW w:w="1255" w:type="dxa"/>
                  <w:shd w:val="clear" w:color="auto" w:fill="auto"/>
                  <w:vAlign w:val="top"/>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电话沟通</w:t>
                  </w:r>
                </w:p>
              </w:tc>
              <w:tc>
                <w:tcPr>
                  <w:tcW w:w="1340" w:type="dxa"/>
                  <w:shd w:val="clear" w:color="auto" w:fill="auto"/>
                  <w:vAlign w:val="top"/>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综合股</w:t>
                  </w:r>
                </w:p>
              </w:tc>
              <w:tc>
                <w:tcPr>
                  <w:tcW w:w="1603" w:type="dxa"/>
                  <w:shd w:val="clear" w:color="auto" w:fill="auto"/>
                  <w:vAlign w:val="top"/>
                </w:tcPr>
                <w:p>
                  <w:pPr>
                    <w:rPr>
                      <w:rFonts w:hint="eastAsia"/>
                      <w:lang w:val="en-US" w:eastAsia="zh-CN"/>
                    </w:rPr>
                  </w:pPr>
                  <w:r>
                    <w:rPr>
                      <w:rFonts w:hint="eastAsia"/>
                      <w:lang w:val="en-US" w:eastAsia="zh-CN"/>
                    </w:rPr>
                    <w:t>——</w:t>
                  </w:r>
                </w:p>
              </w:tc>
            </w:tr>
          </w:tbl>
          <w:p>
            <w:pPr>
              <w:pStyle w:val="21"/>
              <w:rPr>
                <w:rFonts w:hint="default" w:eastAsia="宋体"/>
                <w:lang w:val="en-US" w:eastAsia="zh-CN"/>
              </w:rPr>
            </w:pPr>
            <w:r>
              <w:rPr>
                <w:rFonts w:hint="eastAsia"/>
                <w:lang w:val="en-US" w:eastAsia="zh-CN"/>
              </w:rPr>
              <w:t xml:space="preserve"> </w:t>
            </w:r>
            <w:r>
              <w:drawing>
                <wp:inline distT="0" distB="0" distL="114300" distR="114300">
                  <wp:extent cx="1502410" cy="1696720"/>
                  <wp:effectExtent l="0" t="0" r="8890" b="508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1502410" cy="16967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9075" cy="1701165"/>
                  <wp:effectExtent l="0" t="0" r="9525" b="6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1"/>
                          <a:stretch>
                            <a:fillRect/>
                          </a:stretch>
                        </pic:blipFill>
                        <pic:spPr>
                          <a:xfrm>
                            <a:off x="0" y="0"/>
                            <a:ext cx="1489075" cy="170116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w:t>
            </w:r>
          </w:p>
          <w:p>
            <w:r>
              <w:rPr>
                <w:rFonts w:hint="eastAsia"/>
              </w:rPr>
              <w:t>内部沟通的控制：提供有信息沟通记录；</w:t>
            </w:r>
          </w:p>
          <w:tbl>
            <w:tblPr>
              <w:tblStyle w:val="19"/>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785"/>
              <w:gridCol w:w="1507"/>
              <w:gridCol w:w="1165"/>
              <w:gridCol w:w="1528"/>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shd w:val="clear" w:color="auto" w:fill="auto"/>
                </w:tcPr>
                <w:p>
                  <w:r>
                    <w:t>沟通</w:t>
                  </w:r>
                  <w:r>
                    <w:rPr>
                      <w:rFonts w:hint="eastAsia"/>
                    </w:rPr>
                    <w:t>日期</w:t>
                  </w:r>
                </w:p>
              </w:tc>
              <w:tc>
                <w:tcPr>
                  <w:tcW w:w="1785" w:type="dxa"/>
                  <w:shd w:val="clear" w:color="auto" w:fill="auto"/>
                </w:tcPr>
                <w:p>
                  <w:r>
                    <w:t>沟通</w:t>
                  </w:r>
                  <w:r>
                    <w:rPr>
                      <w:rFonts w:hint="eastAsia"/>
                    </w:rPr>
                    <w:t>的内容</w:t>
                  </w:r>
                </w:p>
              </w:tc>
              <w:tc>
                <w:tcPr>
                  <w:tcW w:w="1507" w:type="dxa"/>
                  <w:shd w:val="clear" w:color="auto" w:fill="auto"/>
                </w:tcPr>
                <w:p>
                  <w:r>
                    <w:rPr>
                      <w:rFonts w:hint="eastAsia"/>
                    </w:rPr>
                    <w:t>沟通对象</w:t>
                  </w:r>
                </w:p>
              </w:tc>
              <w:tc>
                <w:tcPr>
                  <w:tcW w:w="1165" w:type="dxa"/>
                  <w:shd w:val="clear" w:color="auto" w:fill="auto"/>
                </w:tcPr>
                <w:p>
                  <w:r>
                    <w:rPr>
                      <w:rFonts w:hint="eastAsia"/>
                    </w:rPr>
                    <w:t>沟通方法</w:t>
                  </w:r>
                </w:p>
              </w:tc>
              <w:tc>
                <w:tcPr>
                  <w:tcW w:w="1528" w:type="dxa"/>
                  <w:shd w:val="clear" w:color="auto" w:fill="auto"/>
                </w:tcPr>
                <w:p>
                  <w:r>
                    <w:rPr>
                      <w:rFonts w:hint="eastAsia"/>
                    </w:rPr>
                    <w:t>责任部门</w:t>
                  </w:r>
                </w:p>
              </w:tc>
              <w:tc>
                <w:tcPr>
                  <w:tcW w:w="1882" w:type="dxa"/>
                  <w:shd w:val="clear" w:color="auto" w:fill="auto"/>
                </w:tcPr>
                <w:p>
                  <w:r>
                    <w:rPr>
                      <w:rFonts w:hint="eastAsia"/>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shd w:val="clear" w:color="auto" w:fill="auto"/>
                </w:tcPr>
                <w:p>
                  <w:pPr>
                    <w:rPr>
                      <w:rFonts w:hint="default"/>
                      <w:lang w:val="en-US" w:eastAsia="zh-CN"/>
                    </w:rPr>
                  </w:pPr>
                  <w:r>
                    <w:rPr>
                      <w:rFonts w:hint="eastAsia"/>
                      <w:lang w:val="en-US" w:eastAsia="zh-CN"/>
                    </w:rPr>
                    <w:t>每周例会</w:t>
                  </w:r>
                </w:p>
              </w:tc>
              <w:tc>
                <w:tcPr>
                  <w:tcW w:w="1785" w:type="dxa"/>
                  <w:shd w:val="clear" w:color="auto" w:fill="auto"/>
                </w:tcPr>
                <w:p>
                  <w:pPr>
                    <w:rPr>
                      <w:rFonts w:hint="default"/>
                      <w:lang w:val="en-US" w:eastAsia="zh-CN"/>
                    </w:rPr>
                  </w:pPr>
                  <w:r>
                    <w:rPr>
                      <w:rFonts w:hint="eastAsia"/>
                      <w:lang w:val="en-US" w:eastAsia="zh-CN"/>
                    </w:rPr>
                    <w:t>汇报情况、问题解决</w:t>
                  </w:r>
                </w:p>
              </w:tc>
              <w:tc>
                <w:tcPr>
                  <w:tcW w:w="1507" w:type="dxa"/>
                  <w:shd w:val="clear" w:color="auto" w:fill="auto"/>
                </w:tcPr>
                <w:p>
                  <w:pPr>
                    <w:rPr>
                      <w:rFonts w:hint="default"/>
                      <w:lang w:val="en-US" w:eastAsia="zh-CN"/>
                    </w:rPr>
                  </w:pPr>
                  <w:r>
                    <w:rPr>
                      <w:rFonts w:hint="eastAsia"/>
                      <w:lang w:val="en-US" w:eastAsia="zh-CN"/>
                    </w:rPr>
                    <w:t>各部门负责人</w:t>
                  </w:r>
                </w:p>
              </w:tc>
              <w:tc>
                <w:tcPr>
                  <w:tcW w:w="1165" w:type="dxa"/>
                  <w:shd w:val="clear" w:color="auto" w:fill="auto"/>
                </w:tcPr>
                <w:p>
                  <w:pPr>
                    <w:rPr>
                      <w:rFonts w:hint="eastAsia"/>
                      <w:lang w:val="en-US" w:eastAsia="zh-CN"/>
                    </w:rPr>
                  </w:pPr>
                  <w:r>
                    <w:rPr>
                      <w:rFonts w:hint="eastAsia"/>
                      <w:lang w:val="en-US" w:eastAsia="zh-CN"/>
                    </w:rPr>
                    <w:t>面对面</w:t>
                  </w:r>
                </w:p>
              </w:tc>
              <w:tc>
                <w:tcPr>
                  <w:tcW w:w="1528" w:type="dxa"/>
                  <w:shd w:val="clear" w:color="auto" w:fill="auto"/>
                </w:tcPr>
                <w:p>
                  <w:pPr>
                    <w:rPr>
                      <w:rFonts w:hint="default"/>
                      <w:lang w:val="en-US" w:eastAsia="zh-CN"/>
                    </w:rPr>
                  </w:pPr>
                  <w:r>
                    <w:rPr>
                      <w:rFonts w:hint="eastAsia"/>
                      <w:lang w:val="en-US" w:eastAsia="zh-CN"/>
                    </w:rPr>
                    <w:t>中心主任/副主任</w:t>
                  </w:r>
                </w:p>
              </w:tc>
              <w:tc>
                <w:tcPr>
                  <w:tcW w:w="1882" w:type="dxa"/>
                  <w:shd w:val="clear" w:color="auto" w:fill="auto"/>
                </w:tcPr>
                <w:p>
                  <w:r>
                    <w:rPr>
                      <w:rFonts w:hint="eastAsia"/>
                    </w:rPr>
                    <w:t>实际工作中执行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shd w:val="clear" w:color="auto" w:fill="auto"/>
                </w:tcPr>
                <w:p>
                  <w:pPr>
                    <w:rPr>
                      <w:rFonts w:hint="default"/>
                      <w:lang w:val="en-US" w:eastAsia="zh-CN"/>
                    </w:rPr>
                  </w:pPr>
                  <w:r>
                    <w:rPr>
                      <w:rFonts w:hint="eastAsia"/>
                      <w:lang w:val="en-US" w:eastAsia="zh-CN"/>
                    </w:rPr>
                    <w:t>随机</w:t>
                  </w:r>
                </w:p>
              </w:tc>
              <w:tc>
                <w:tcPr>
                  <w:tcW w:w="1785" w:type="dxa"/>
                  <w:shd w:val="clear" w:color="auto" w:fill="auto"/>
                </w:tcPr>
                <w:p>
                  <w:pPr>
                    <w:rPr>
                      <w:rFonts w:hint="default"/>
                      <w:lang w:val="en-US" w:eastAsia="zh-CN"/>
                    </w:rPr>
                  </w:pPr>
                  <w:r>
                    <w:rPr>
                      <w:rFonts w:hint="eastAsia"/>
                      <w:lang w:val="en-US" w:eastAsia="zh-CN"/>
                    </w:rPr>
                    <w:t>本部门工作安排</w:t>
                  </w:r>
                </w:p>
              </w:tc>
              <w:tc>
                <w:tcPr>
                  <w:tcW w:w="1507" w:type="dxa"/>
                  <w:shd w:val="clear" w:color="auto" w:fill="auto"/>
                </w:tcPr>
                <w:p>
                  <w:pPr>
                    <w:rPr>
                      <w:rFonts w:hint="default"/>
                      <w:lang w:val="en-US" w:eastAsia="zh-CN"/>
                    </w:rPr>
                  </w:pPr>
                  <w:r>
                    <w:rPr>
                      <w:rFonts w:hint="eastAsia"/>
                      <w:lang w:val="en-US" w:eastAsia="zh-CN"/>
                    </w:rPr>
                    <w:t>各部门</w:t>
                  </w:r>
                </w:p>
              </w:tc>
              <w:tc>
                <w:tcPr>
                  <w:tcW w:w="1165" w:type="dxa"/>
                  <w:shd w:val="clear" w:color="auto" w:fill="auto"/>
                </w:tcPr>
                <w:p>
                  <w:r>
                    <w:rPr>
                      <w:rFonts w:hint="eastAsia"/>
                      <w:lang w:val="en-US" w:eastAsia="zh-CN"/>
                    </w:rPr>
                    <w:t>面对面</w:t>
                  </w:r>
                </w:p>
              </w:tc>
              <w:tc>
                <w:tcPr>
                  <w:tcW w:w="1528" w:type="dxa"/>
                  <w:shd w:val="clear" w:color="auto" w:fill="auto"/>
                </w:tcPr>
                <w:p>
                  <w:r>
                    <w:rPr>
                      <w:rFonts w:hint="eastAsia"/>
                      <w:lang w:val="en-US" w:eastAsia="zh-CN"/>
                    </w:rPr>
                    <w:t>各部门负责人</w:t>
                  </w:r>
                </w:p>
              </w:tc>
              <w:tc>
                <w:tcPr>
                  <w:tcW w:w="1882" w:type="dxa"/>
                  <w:shd w:val="clear" w:color="auto" w:fill="auto"/>
                  <w:vAlign w:val="top"/>
                </w:tcPr>
                <w:p>
                  <w:pPr>
                    <w:rPr>
                      <w:lang w:val="en-US" w:eastAsia="zh-CN"/>
                    </w:rPr>
                  </w:pPr>
                  <w:r>
                    <w:rPr>
                      <w:rFonts w:hint="eastAsia"/>
                    </w:rPr>
                    <w:t>实际工作中执行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shd w:val="clear" w:color="auto" w:fill="auto"/>
                  <w:vAlign w:val="top"/>
                </w:tcPr>
                <w:p>
                  <w:pPr>
                    <w:rPr>
                      <w:rFonts w:hint="eastAsia"/>
                      <w:lang w:val="en-US" w:eastAsia="zh-CN"/>
                    </w:rPr>
                  </w:pPr>
                </w:p>
              </w:tc>
              <w:tc>
                <w:tcPr>
                  <w:tcW w:w="1785" w:type="dxa"/>
                  <w:shd w:val="clear" w:color="auto" w:fill="auto"/>
                  <w:vAlign w:val="top"/>
                </w:tcPr>
                <w:p>
                  <w:pPr>
                    <w:rPr>
                      <w:rFonts w:hint="eastAsia"/>
                      <w:lang w:val="en-US" w:eastAsia="zh-CN"/>
                    </w:rPr>
                  </w:pPr>
                </w:p>
              </w:tc>
              <w:tc>
                <w:tcPr>
                  <w:tcW w:w="1507" w:type="dxa"/>
                  <w:shd w:val="clear" w:color="auto" w:fill="auto"/>
                  <w:vAlign w:val="top"/>
                </w:tcPr>
                <w:p>
                  <w:pPr>
                    <w:rPr>
                      <w:rFonts w:hint="eastAsia"/>
                      <w:lang w:val="en-US" w:eastAsia="zh-CN"/>
                    </w:rPr>
                  </w:pPr>
                </w:p>
              </w:tc>
              <w:tc>
                <w:tcPr>
                  <w:tcW w:w="1165" w:type="dxa"/>
                  <w:shd w:val="clear" w:color="auto" w:fill="auto"/>
                  <w:vAlign w:val="top"/>
                </w:tcPr>
                <w:p>
                  <w:pPr>
                    <w:rPr>
                      <w:rFonts w:hint="eastAsia"/>
                      <w:lang w:val="en-US" w:eastAsia="zh-CN"/>
                    </w:rPr>
                  </w:pPr>
                </w:p>
              </w:tc>
              <w:tc>
                <w:tcPr>
                  <w:tcW w:w="1528" w:type="dxa"/>
                  <w:shd w:val="clear" w:color="auto" w:fill="auto"/>
                  <w:vAlign w:val="top"/>
                </w:tcPr>
                <w:p>
                  <w:pPr>
                    <w:rPr>
                      <w:rFonts w:hint="default"/>
                      <w:lang w:val="en-US" w:eastAsia="zh-CN"/>
                    </w:rPr>
                  </w:pPr>
                </w:p>
              </w:tc>
              <w:tc>
                <w:tcPr>
                  <w:tcW w:w="1882" w:type="dxa"/>
                  <w:shd w:val="clear" w:color="auto" w:fill="auto"/>
                  <w:vAlign w:val="top"/>
                </w:tcPr>
                <w:p>
                  <w:pPr>
                    <w:rPr>
                      <w:rFonts w:hint="eastAsia"/>
                      <w:lang w:val="en-US" w:eastAsia="zh-CN"/>
                    </w:rPr>
                  </w:pPr>
                </w:p>
              </w:tc>
            </w:tr>
          </w:tbl>
          <w:p>
            <w:pPr>
              <w:rPr>
                <w:rFonts w:hint="eastAsia"/>
              </w:rPr>
            </w:pPr>
            <w:r>
              <w:rPr>
                <w:rFonts w:hint="eastAsia"/>
              </w:rPr>
              <w:t>经沟通了解企业内部报告的渠道：</w:t>
            </w:r>
            <w:r>
              <w:rPr>
                <w:rFonts w:hint="eastAsia"/>
              </w:rPr>
              <w:sym w:font="Wingdings" w:char="00FE"/>
            </w:r>
            <w:r>
              <w:rPr>
                <w:rFonts w:hint="eastAsia"/>
              </w:rPr>
              <w:t xml:space="preserve">口头  </w:t>
            </w:r>
            <w:r>
              <w:rPr>
                <w:rFonts w:hint="eastAsia"/>
              </w:rPr>
              <w:sym w:font="Wingdings" w:char="00FE"/>
            </w:r>
            <w:r>
              <w:rPr>
                <w:rFonts w:hint="eastAsia"/>
              </w:rPr>
              <w:t xml:space="preserve">手机/电话  </w:t>
            </w:r>
            <w:r>
              <w:rPr>
                <w:rFonts w:hint="eastAsia"/>
              </w:rPr>
              <w:sym w:font="Wingdings" w:char="00FE"/>
            </w:r>
            <w:r>
              <w:rPr>
                <w:rFonts w:hint="eastAsia"/>
              </w:rPr>
              <w:t xml:space="preserve">网络  </w:t>
            </w:r>
            <w:r>
              <w:rPr>
                <w:rFonts w:hint="eastAsia"/>
              </w:rPr>
              <w:sym w:font="Wingdings" w:char="00FE"/>
            </w:r>
            <w:r>
              <w:rPr>
                <w:rFonts w:hint="eastAsia"/>
              </w:rPr>
              <w:t xml:space="preserve">书面  </w:t>
            </w:r>
            <w:r>
              <w:rPr>
                <w:rFonts w:hint="eastAsia"/>
              </w:rPr>
              <w:sym w:font="Wingdings" w:char="00FE"/>
            </w:r>
            <w:r>
              <w:rPr>
                <w:rFonts w:hint="eastAsia"/>
              </w:rPr>
              <w:t xml:space="preserve">会议   </w:t>
            </w:r>
            <w:r>
              <w:rPr>
                <w:rFonts w:hint="eastAsia"/>
              </w:rPr>
              <w:sym w:font="Wingdings" w:char="00A8"/>
            </w:r>
            <w:r>
              <w:rPr>
                <w:rFonts w:hint="eastAsia"/>
              </w:rPr>
              <w:t xml:space="preserve">意见箱 </w:t>
            </w:r>
          </w:p>
          <w:p>
            <w:pPr>
              <w:rPr>
                <w:rFonts w:hint="default" w:ascii="Times New Roman" w:hAnsi="Times New Roman" w:eastAsia="宋体" w:cs="Times New Roman"/>
                <w:kern w:val="2"/>
                <w:sz w:val="24"/>
                <w:lang w:val="en-US" w:eastAsia="zh-CN" w:bidi="ar-SA"/>
              </w:rPr>
            </w:pPr>
            <w:r>
              <w:rPr>
                <w:rFonts w:hint="eastAsia"/>
                <w:lang w:val="en-US" w:eastAsia="zh-CN"/>
              </w:rPr>
              <w:t xml:space="preserve"> </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26" w:type="dxa"/>
            <w:vMerge w:val="restart"/>
          </w:tcPr>
          <w:p>
            <w:pPr>
              <w:rPr>
                <w:rFonts w:hint="default" w:eastAsia="宋体"/>
                <w:lang w:val="en-US" w:eastAsia="zh-CN"/>
              </w:rPr>
            </w:pPr>
            <w:r>
              <w:rPr>
                <w:rFonts w:hint="eastAsia"/>
                <w:lang w:val="en-US" w:eastAsia="zh-CN"/>
              </w:rPr>
              <w:t>运行控制、绩效监视测量分析评价</w:t>
            </w:r>
          </w:p>
        </w:tc>
        <w:tc>
          <w:tcPr>
            <w:tcW w:w="1216" w:type="dxa"/>
            <w:vMerge w:val="restart"/>
          </w:tcPr>
          <w:p>
            <w:pPr>
              <w:rPr>
                <w:rFonts w:hint="default"/>
                <w:lang w:val="en-US" w:eastAsia="zh-CN"/>
              </w:rPr>
            </w:pPr>
            <w:r>
              <w:rPr>
                <w:rFonts w:hint="eastAsia"/>
                <w:lang w:val="en-US" w:eastAsia="zh-CN"/>
              </w:rPr>
              <w:t>En8.1/9.1.1</w:t>
            </w:r>
          </w:p>
          <w:p>
            <w:pPr>
              <w:rPr>
                <w:rFonts w:hint="default"/>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vAlign w:val="top"/>
          </w:tcPr>
          <w:p>
            <w:pPr>
              <w:rPr>
                <w:rFonts w:hint="default" w:ascii="Times New Roman" w:hAnsi="Times New Roman" w:eastAsia="宋体" w:cs="Times New Roman"/>
                <w:kern w:val="2"/>
                <w:sz w:val="21"/>
                <w:lang w:val="en-US" w:eastAsia="zh-CN" w:bidi="ar-SA"/>
              </w:rPr>
            </w:pPr>
            <w:r>
              <w:rPr>
                <w:rFonts w:hint="eastAsia"/>
              </w:rPr>
              <w:t>如</w:t>
            </w:r>
            <w:r>
              <w:rPr>
                <w:rFonts w:hint="eastAsia"/>
                <w:lang w:eastAsia="zh-CN"/>
              </w:rPr>
              <w:t>：</w:t>
            </w:r>
            <w:r>
              <w:rPr>
                <w:color w:val="auto"/>
                <w:highlight w:val="none"/>
              </w:rPr>
              <w:sym w:font="Wingdings" w:char="00FE"/>
            </w:r>
            <w:r>
              <w:rPr>
                <w:rFonts w:hint="eastAsia"/>
                <w:lang w:val="en-US" w:eastAsia="zh-CN"/>
              </w:rPr>
              <w:t>手册8.1条款，</w:t>
            </w:r>
            <w:r>
              <w:rPr>
                <w:color w:val="auto"/>
                <w:highlight w:val="none"/>
              </w:rPr>
              <w:sym w:font="Wingdings" w:char="00FE"/>
            </w:r>
            <w:r>
              <w:rPr>
                <w:rFonts w:hint="eastAsia"/>
              </w:rPr>
              <w:t>《</w:t>
            </w:r>
            <w:r>
              <w:rPr>
                <w:rFonts w:hint="eastAsia"/>
                <w:lang w:val="en-US" w:eastAsia="zh-CN"/>
              </w:rPr>
              <w:t>运行</w:t>
            </w:r>
            <w:r>
              <w:rPr>
                <w:rFonts w:hint="eastAsia"/>
              </w:rPr>
              <w:t>控制程序》</w:t>
            </w:r>
          </w:p>
        </w:tc>
        <w:tc>
          <w:tcPr>
            <w:tcW w:w="1293" w:type="dxa"/>
            <w:vMerge w:val="restart"/>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p/>
          <w:p>
            <w:pPr>
              <w:pStyle w:val="2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226" w:type="dxa"/>
            <w:vMerge w:val="continue"/>
          </w:tcPr>
          <w:p>
            <w:pPr>
              <w:rPr>
                <w:rFonts w:hint="default" w:eastAsia="宋体"/>
                <w:lang w:val="en-US" w:eastAsia="zh-CN"/>
              </w:rPr>
            </w:pPr>
          </w:p>
        </w:tc>
        <w:tc>
          <w:tcPr>
            <w:tcW w:w="1216" w:type="dxa"/>
            <w:vMerge w:val="continue"/>
          </w:tcPr>
          <w:p>
            <w:pPr>
              <w:pStyle w:val="21"/>
              <w:rPr>
                <w:rFonts w:hint="default"/>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color w:val="auto"/>
                <w:lang w:val="en-US" w:eastAsia="zh-CN"/>
              </w:rPr>
              <w:t>运行证据</w:t>
            </w:r>
          </w:p>
        </w:tc>
        <w:tc>
          <w:tcPr>
            <w:tcW w:w="9766" w:type="dxa"/>
            <w:vAlign w:val="top"/>
          </w:tcPr>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vertAlign w:val="baseline"/>
                <w:lang w:val="en-US" w:eastAsia="zh-CN"/>
              </w:rPr>
            </w:pPr>
            <w:r>
              <w:rPr>
                <w:rFonts w:hint="eastAsia"/>
                <w:vertAlign w:val="baseline"/>
                <w:lang w:val="en-US" w:eastAsia="zh-CN"/>
              </w:rPr>
              <w:t>1.节约用电的控制：</w:t>
            </w:r>
            <w:r>
              <w:rPr>
                <w:rFonts w:hint="eastAsia"/>
                <w:vertAlign w:val="baseline"/>
                <w:lang w:val="en-US" w:eastAsia="zh-CN"/>
              </w:rPr>
              <w:sym w:font="Wingdings" w:char="00FE"/>
            </w:r>
            <w:r>
              <w:rPr>
                <w:rFonts w:hint="eastAsia"/>
                <w:vertAlign w:val="baseline"/>
                <w:lang w:val="en-US" w:eastAsia="zh-CN"/>
              </w:rPr>
              <w:t>随手关灯、</w:t>
            </w:r>
            <w:r>
              <w:rPr>
                <w:rFonts w:hint="eastAsia"/>
                <w:vertAlign w:val="baseline"/>
                <w:lang w:val="en-US" w:eastAsia="zh-CN"/>
              </w:rPr>
              <w:sym w:font="Wingdings" w:char="00FE"/>
            </w:r>
            <w:r>
              <w:rPr>
                <w:rFonts w:hint="eastAsia"/>
                <w:vertAlign w:val="baseline"/>
                <w:lang w:val="en-US" w:eastAsia="zh-CN"/>
              </w:rPr>
              <w:t>下班前关闭电源、</w:t>
            </w:r>
            <w:r>
              <w:rPr>
                <w:rFonts w:hint="eastAsia"/>
                <w:vertAlign w:val="baseline"/>
                <w:lang w:val="en-US" w:eastAsia="zh-CN"/>
              </w:rPr>
              <w:sym w:font="Wingdings" w:char="00FE"/>
            </w:r>
            <w:r>
              <w:rPr>
                <w:rFonts w:hint="eastAsia"/>
                <w:vertAlign w:val="baseline"/>
                <w:lang w:val="en-US" w:eastAsia="zh-CN"/>
              </w:rPr>
              <w:t>控制空调温度（夏季≥26℃；冬季≤20℃）</w:t>
            </w:r>
          </w:p>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vertAlign w:val="baseline"/>
                <w:lang w:val="en-US" w:eastAsia="zh-CN"/>
              </w:rPr>
            </w:pPr>
            <w:r>
              <w:rPr>
                <w:rFonts w:hint="eastAsia"/>
                <w:vertAlign w:val="baseline"/>
                <w:lang w:val="en-US" w:eastAsia="zh-CN"/>
              </w:rPr>
              <w:t>2.节约用水的控制：</w:t>
            </w:r>
            <w:r>
              <w:rPr>
                <w:rFonts w:hint="eastAsia"/>
                <w:vertAlign w:val="baseline"/>
                <w:lang w:val="en-US" w:eastAsia="zh-CN"/>
              </w:rPr>
              <w:sym w:font="Wingdings" w:char="00FE"/>
            </w:r>
            <w:r>
              <w:rPr>
                <w:rFonts w:hint="eastAsia"/>
                <w:vertAlign w:val="baseline"/>
                <w:lang w:val="en-US" w:eastAsia="zh-CN"/>
              </w:rPr>
              <w:t xml:space="preserve">随手关水龙头  </w:t>
            </w:r>
            <w:r>
              <w:rPr>
                <w:rFonts w:hint="eastAsia"/>
                <w:vertAlign w:val="baseline"/>
                <w:lang w:val="en-US" w:eastAsia="zh-CN"/>
              </w:rPr>
              <w:sym w:font="Wingdings" w:char="00FE"/>
            </w:r>
            <w:r>
              <w:rPr>
                <w:rFonts w:hint="eastAsia"/>
                <w:vertAlign w:val="baseline"/>
                <w:lang w:val="en-US" w:eastAsia="zh-CN"/>
              </w:rPr>
              <w:t>使用节水龙头及马桶</w:t>
            </w:r>
          </w:p>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spacing w:val="10"/>
                <w:kern w:val="2"/>
                <w:sz w:val="21"/>
                <w:vertAlign w:val="baseline"/>
                <w:lang w:val="en-US" w:eastAsia="zh-CN" w:bidi="ar-SA"/>
              </w:rPr>
            </w:pPr>
            <w:r>
              <w:rPr>
                <w:rFonts w:hint="eastAsia"/>
                <w:vertAlign w:val="baseline"/>
                <w:lang w:val="en-US" w:eastAsia="zh-CN"/>
              </w:rPr>
              <w:t>3.节约用纸的控制：</w:t>
            </w:r>
            <w:r>
              <w:rPr>
                <w:rFonts w:hint="eastAsia"/>
                <w:vertAlign w:val="baseline"/>
                <w:lang w:val="en-US" w:eastAsia="zh-CN"/>
              </w:rPr>
              <w:sym w:font="Wingdings" w:char="00FE"/>
            </w:r>
            <w:r>
              <w:rPr>
                <w:rFonts w:hint="eastAsia"/>
                <w:vertAlign w:val="baseline"/>
                <w:lang w:val="en-US" w:eastAsia="zh-CN"/>
              </w:rPr>
              <w:t xml:space="preserve">纸张双面使用  </w:t>
            </w:r>
            <w:r>
              <w:rPr>
                <w:rFonts w:hint="eastAsia"/>
                <w:vertAlign w:val="baseline"/>
                <w:lang w:val="en-US" w:eastAsia="zh-CN"/>
              </w:rPr>
              <w:sym w:font="Wingdings" w:char="00FE"/>
            </w:r>
            <w:r>
              <w:rPr>
                <w:rFonts w:hint="eastAsia"/>
                <w:vertAlign w:val="baseline"/>
                <w:lang w:val="en-US" w:eastAsia="zh-CN"/>
              </w:rPr>
              <w:t>尽量采用电子版文件</w:t>
            </w:r>
          </w:p>
        </w:tc>
        <w:tc>
          <w:tcPr>
            <w:tcW w:w="1293"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continue"/>
          </w:tcPr>
          <w:p>
            <w:pPr>
              <w:rPr>
                <w:rFonts w:hint="eastAsia"/>
                <w:lang w:val="en-US" w:eastAsia="zh-CN"/>
              </w:rPr>
            </w:pPr>
          </w:p>
        </w:tc>
        <w:tc>
          <w:tcPr>
            <w:tcW w:w="1216" w:type="dxa"/>
            <w:vMerge w:val="continue"/>
          </w:tcPr>
          <w:p>
            <w:pPr>
              <w:pStyle w:val="21"/>
              <w:rPr>
                <w:rFonts w:hint="eastAsia"/>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vAlign w:val="top"/>
          </w:tcPr>
          <w:p>
            <w:pPr>
              <w:pStyle w:val="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节能减排股提供能源管理制度</w:t>
            </w:r>
          </w:p>
          <w:p>
            <w:pPr>
              <w:pStyle w:val="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sz w:val="21"/>
                <w:szCs w:val="21"/>
                <w:lang w:val="en-US" w:eastAsia="zh-CN"/>
              </w:rPr>
            </w:pPr>
            <w:bookmarkStart w:id="0" w:name="组织名称"/>
            <w:r>
              <w:rPr>
                <w:rFonts w:ascii="Times New Roman" w:hAnsi="Times New Roman" w:cs="Times New Roman"/>
                <w:sz w:val="21"/>
                <w:szCs w:val="21"/>
              </w:rPr>
              <w:t>宜宾市南溪区机关事务综合服务中心</w:t>
            </w:r>
            <w:bookmarkEnd w:id="0"/>
            <w:r>
              <w:rPr>
                <w:rFonts w:hint="eastAsia" w:ascii="Times New Roman" w:hAnsi="Times New Roman" w:cs="Times New Roman"/>
                <w:sz w:val="21"/>
                <w:szCs w:val="21"/>
                <w:lang w:val="en-US" w:eastAsia="zh-CN"/>
              </w:rPr>
              <w:t>服务对象的主要耗能设备主要是电梯、配电室、消防泵等。</w:t>
            </w:r>
          </w:p>
          <w:p>
            <w:pPr>
              <w:pStyle w:val="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以上设备外委第三方进行管理，以上设备没有主要耗能和淘汰落后设备；</w:t>
            </w:r>
          </w:p>
          <w:p>
            <w:pPr>
              <w:pStyle w:val="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sz w:val="21"/>
                <w:szCs w:val="21"/>
                <w:lang w:val="en-US" w:eastAsia="zh-CN"/>
              </w:rPr>
            </w:pPr>
            <w:r>
              <w:rPr>
                <w:rFonts w:ascii="Times New Roman" w:hAnsi="Times New Roman" w:cs="Times New Roman"/>
                <w:sz w:val="21"/>
                <w:szCs w:val="21"/>
                <w:lang w:val="en-US" w:eastAsia="zh-CN"/>
              </w:rPr>
              <w:t>宜宾市南溪区机关事务综合服务中心</w:t>
            </w:r>
            <w:r>
              <w:rPr>
                <w:rFonts w:hint="eastAsia" w:ascii="Times New Roman" w:hAnsi="Times New Roman" w:cs="Times New Roman"/>
                <w:sz w:val="21"/>
                <w:szCs w:val="21"/>
                <w:lang w:val="en-US" w:eastAsia="zh-CN"/>
              </w:rPr>
              <w:t>所涉及的用能设备是办公用能设备，电脑、打印机、空调、电梯等</w:t>
            </w:r>
          </w:p>
          <w:p>
            <w:pPr>
              <w:pStyle w:val="5"/>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设备运行维护记录（外委第三方运行）</w:t>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pPr>
            <w:r>
              <w:drawing>
                <wp:inline distT="0" distB="0" distL="114300" distR="114300">
                  <wp:extent cx="1733550" cy="1320800"/>
                  <wp:effectExtent l="0" t="0" r="635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1733550" cy="13208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51635" cy="1296670"/>
                  <wp:effectExtent l="0" t="0" r="12065"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1651635" cy="12966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58620" cy="1297305"/>
                  <wp:effectExtent l="0" t="0" r="5080"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1658620" cy="129730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pPr>
            <w:r>
              <w:drawing>
                <wp:inline distT="0" distB="0" distL="114300" distR="114300">
                  <wp:extent cx="1702435" cy="1563370"/>
                  <wp:effectExtent l="0" t="0" r="1206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1702435" cy="15633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250" cy="1513205"/>
                  <wp:effectExtent l="0" t="0" r="635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1619250" cy="151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00835" cy="1486535"/>
                  <wp:effectExtent l="0" t="0" r="12065" b="1206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1600835" cy="148653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lang w:val="en-US" w:eastAsia="zh-CN"/>
              </w:rPr>
            </w:pPr>
            <w:r>
              <w:rPr>
                <w:rFonts w:hint="eastAsia"/>
                <w:lang w:val="en-US" w:eastAsia="zh-CN"/>
              </w:rPr>
              <w:t>办公室管理：</w:t>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pPr>
            <w:r>
              <w:drawing>
                <wp:inline distT="0" distB="0" distL="114300" distR="114300">
                  <wp:extent cx="2733040" cy="1480185"/>
                  <wp:effectExtent l="0" t="0" r="10160" b="571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8"/>
                          <a:stretch>
                            <a:fillRect/>
                          </a:stretch>
                        </pic:blipFill>
                        <pic:spPr>
                          <a:xfrm>
                            <a:off x="0" y="0"/>
                            <a:ext cx="2733040" cy="1480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47010" cy="1493520"/>
                  <wp:effectExtent l="0" t="0" r="8890" b="508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19"/>
                          <a:stretch>
                            <a:fillRect/>
                          </a:stretch>
                        </pic:blipFill>
                        <pic:spPr>
                          <a:xfrm>
                            <a:off x="0" y="0"/>
                            <a:ext cx="2747010" cy="149352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pPr>
            <w:r>
              <w:drawing>
                <wp:inline distT="0" distB="0" distL="114300" distR="114300">
                  <wp:extent cx="2742565" cy="1519555"/>
                  <wp:effectExtent l="0" t="0" r="635" b="444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0"/>
                          <a:stretch>
                            <a:fillRect/>
                          </a:stretch>
                        </pic:blipFill>
                        <pic:spPr>
                          <a:xfrm>
                            <a:off x="0" y="0"/>
                            <a:ext cx="2742565" cy="15195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77490" cy="1539240"/>
                  <wp:effectExtent l="0" t="0" r="3810" b="1016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1"/>
                          <a:stretch>
                            <a:fillRect/>
                          </a:stretch>
                        </pic:blipFill>
                        <pic:spPr>
                          <a:xfrm>
                            <a:off x="0" y="0"/>
                            <a:ext cx="2777490" cy="153924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default"/>
                <w:color w:val="0000FF"/>
                <w:lang w:val="en-US" w:eastAsia="zh-CN"/>
              </w:rPr>
            </w:pPr>
            <w:r>
              <w:rPr>
                <w:rFonts w:hint="eastAsia"/>
                <w:color w:val="0000FF"/>
                <w:lang w:val="en-US" w:eastAsia="zh-CN"/>
              </w:rPr>
              <w:t>现场远程视频时发现中心的空调有夏季温度限值的要求，未提出冬季温度限值要求，建议改进。——问题项</w:t>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紧急过程能源消耗的管理：企业实行统一供电，服务管理紧急情况下可随时停或不受影响。</w:t>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现场巡视：见Z盘视频。</w:t>
            </w:r>
          </w:p>
        </w:tc>
        <w:tc>
          <w:tcPr>
            <w:tcW w:w="1293" w:type="dxa"/>
            <w:vMerge w:val="continue"/>
          </w:tcPr>
          <w:p>
            <w:pPr>
              <w:pStyle w:val="2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restart"/>
            <w:vAlign w:val="top"/>
          </w:tcPr>
          <w:p>
            <w:r>
              <w:rPr>
                <w:rFonts w:hint="eastAsia"/>
              </w:rPr>
              <w:t>设计</w:t>
            </w:r>
          </w:p>
          <w:p>
            <w:pPr>
              <w:rPr>
                <w:rFonts w:hint="eastAsia" w:ascii="Times New Roman" w:hAnsi="Times New Roman" w:eastAsia="宋体" w:cs="Times New Roman"/>
                <w:kern w:val="2"/>
                <w:sz w:val="21"/>
                <w:lang w:val="en-US" w:eastAsia="zh-CN" w:bidi="ar-SA"/>
              </w:rPr>
            </w:pPr>
          </w:p>
        </w:tc>
        <w:tc>
          <w:tcPr>
            <w:tcW w:w="1216" w:type="dxa"/>
            <w:vMerge w:val="restart"/>
            <w:vAlign w:val="top"/>
          </w:tcPr>
          <w:p>
            <w:r>
              <w:rPr>
                <w:rFonts w:hint="eastAsia"/>
              </w:rPr>
              <w:t>En8.2</w:t>
            </w:r>
          </w:p>
          <w:p>
            <w:pPr>
              <w:rPr>
                <w:rFonts w:hint="eastAsia" w:ascii="Times New Roman" w:hAnsi="Times New Roman" w:eastAsia="宋体" w:cs="Times New Roman"/>
                <w:kern w:val="2"/>
                <w:sz w:val="21"/>
                <w:lang w:val="en-US" w:eastAsia="zh-CN" w:bidi="ar-SA"/>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vAlign w:val="top"/>
          </w:tcPr>
          <w:p>
            <w:pPr>
              <w:rPr>
                <w:rFonts w:hint="eastAsia" w:ascii="Times New Roman" w:hAnsi="Times New Roman" w:eastAsia="宋体" w:cs="Times New Roman"/>
                <w:kern w:val="2"/>
                <w:sz w:val="21"/>
                <w:lang w:val="en-US" w:eastAsia="zh-CN" w:bidi="ar-SA"/>
              </w:rPr>
            </w:pPr>
            <w:r>
              <w:rPr>
                <w:rFonts w:hint="eastAsia"/>
              </w:rPr>
              <w:t>如手册第</w:t>
            </w:r>
            <w:r>
              <w:rPr>
                <w:rFonts w:hint="eastAsia"/>
                <w:lang w:val="en-US" w:eastAsia="zh-CN"/>
              </w:rPr>
              <w:t>8.2</w:t>
            </w:r>
            <w:r>
              <w:rPr>
                <w:rFonts w:hint="eastAsia"/>
              </w:rPr>
              <w:t>条款、《设计控制程序》</w:t>
            </w:r>
          </w:p>
        </w:tc>
        <w:tc>
          <w:tcPr>
            <w:tcW w:w="1293" w:type="dxa"/>
            <w:vMerge w:val="restart"/>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p>
            <w:pPr>
              <w:pStyle w:val="2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continue"/>
          </w:tcPr>
          <w:p>
            <w:pPr>
              <w:rPr>
                <w:rFonts w:hint="eastAsia"/>
                <w:lang w:val="en-US" w:eastAsia="zh-CN"/>
              </w:rPr>
            </w:pPr>
          </w:p>
        </w:tc>
        <w:tc>
          <w:tcPr>
            <w:tcW w:w="1216" w:type="dxa"/>
            <w:vMerge w:val="continue"/>
          </w:tcPr>
          <w:p>
            <w:pPr>
              <w:pStyle w:val="21"/>
              <w:rPr>
                <w:rFonts w:hint="eastAsia"/>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运行控制</w:t>
            </w:r>
          </w:p>
        </w:tc>
        <w:tc>
          <w:tcPr>
            <w:tcW w:w="9766" w:type="dxa"/>
            <w:vAlign w:val="top"/>
          </w:tcPr>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程序文件规定：确定设计和开发方案由节能减排股提出设计方案，项目负责人能源使用、能源 效率、能源消耗等方面评估分析，确定最优方案（在难以取舍时可选择 2～3 个方案同时开展，在评审阶段再行取舍）。项目组决定整个项目的开展进度（各个 阶段的任务及完成日期）。 每个阶段都需要将设计开发的输入信息、 输出信息、责任人、完成时间填写在《设计开发项目计划书》中。</w:t>
            </w:r>
          </w:p>
          <w:p>
            <w:pPr>
              <w:pStyle w:val="5"/>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lang w:val="en-US" w:eastAsia="zh-CN"/>
              </w:rPr>
            </w:pPr>
            <w:r>
              <w:rPr>
                <w:rFonts w:hint="eastAsia" w:ascii="Times New Roman" w:hAnsi="Times New Roman" w:eastAsia="宋体" w:cs="Times New Roman"/>
                <w:sz w:val="21"/>
                <w:szCs w:val="21"/>
                <w:lang w:val="en-US" w:eastAsia="zh-CN"/>
              </w:rPr>
              <w:t>设计和开发评审由项目组和评审组对已选定方案进行合理的用能评审，填写《设计开发验证报告》内容主要包括以下内容：是否符合国家法律、法规、产业政策、标准、节能技术政策大纲和行业节能设计规范及有关部门规定的其他内容；</w:t>
            </w:r>
            <w:r>
              <w:rPr>
                <w:rFonts w:hint="eastAsia"/>
                <w:lang w:val="en-US" w:eastAsia="zh-CN"/>
              </w:rPr>
              <w:t>在新、改、扩建项目，设备大、中修、设备工艺设计和改进时，考虑能源绩效改进机会及运行控制需要，评价对主要耗能设备设施、过程、系统对能源绩效的影响。考虑：符合国家法律法规、发展方针、标准、节能技术方针大纲及有关部门规定的其他内容，杜绝选用列入淘汰目录的设施设备或工艺，优先选用工信部推荐的节能设备；能源种类、需求量、质量、价格、可获得性、经济性、环境影响、运输供应便捷性、方针和经济支撑条件等因素；</w:t>
            </w:r>
          </w:p>
          <w:p>
            <w:pPr>
              <w:pStyle w:val="16"/>
              <w:ind w:left="0" w:leftChars="0" w:firstLine="0" w:firstLineChars="0"/>
              <w:rPr>
                <w:rFonts w:hint="eastAsia"/>
                <w:lang w:val="en-US" w:eastAsia="zh-CN"/>
              </w:rPr>
            </w:pPr>
          </w:p>
          <w:p>
            <w:pPr>
              <w:rPr>
                <w:rFonts w:hint="eastAsia"/>
              </w:rPr>
            </w:pPr>
            <w:r>
              <w:rPr>
                <w:rFonts w:hint="eastAsia"/>
              </w:rPr>
              <w:sym w:font="Wingdings" w:char="00FE"/>
            </w:r>
            <w:r>
              <w:rPr>
                <w:rFonts w:hint="eastAsia"/>
                <w:lang w:val="en-US" w:eastAsia="zh-CN"/>
              </w:rPr>
              <w:t xml:space="preserve">目前无设计和开发  </w:t>
            </w:r>
            <w:r>
              <w:rPr>
                <w:rFonts w:hint="eastAsia"/>
              </w:rPr>
              <w:sym w:font="Wingdings" w:char="00A8"/>
            </w:r>
            <w:r>
              <w:rPr>
                <w:rFonts w:hint="eastAsia"/>
                <w:lang w:val="en-US" w:eastAsia="zh-CN"/>
              </w:rPr>
              <w:t>有设计和开发</w:t>
            </w:r>
            <w:r>
              <w:rPr>
                <w:rFonts w:hint="eastAsia"/>
              </w:rPr>
              <w:t xml:space="preserve"> </w:t>
            </w:r>
          </w:p>
          <w:p>
            <w:r>
              <w:rPr>
                <w:rFonts w:hint="eastAsia"/>
              </w:rPr>
              <w:t>目前进行设计开发项目的性质：</w:t>
            </w:r>
            <w:r>
              <w:rPr>
                <w:rFonts w:hint="eastAsia"/>
              </w:rPr>
              <w:sym w:font="Wingdings" w:char="00A8"/>
            </w:r>
            <w:r>
              <w:rPr>
                <w:rFonts w:hint="eastAsia"/>
              </w:rPr>
              <w:t xml:space="preserve">新产品 </w:t>
            </w:r>
            <w:r>
              <w:rPr>
                <w:rFonts w:hint="eastAsia"/>
              </w:rPr>
              <w:sym w:font="Wingdings" w:char="00A8"/>
            </w:r>
            <w:r>
              <w:rPr>
                <w:rFonts w:hint="eastAsia"/>
              </w:rPr>
              <w:t xml:space="preserve">新服务项目 </w:t>
            </w:r>
            <w:r>
              <w:rPr>
                <w:rFonts w:hint="eastAsia"/>
              </w:rPr>
              <w:sym w:font="Wingdings" w:char="00A8"/>
            </w:r>
            <w:r>
              <w:rPr>
                <w:rFonts w:hint="eastAsia"/>
              </w:rPr>
              <w:t>技术改进</w:t>
            </w:r>
          </w:p>
          <w:p>
            <w:pPr>
              <w:rPr>
                <w:rFonts w:hint="eastAsia"/>
                <w:color w:val="021DE4"/>
                <w:lang w:eastAsia="zh-CN"/>
              </w:rPr>
            </w:pPr>
            <w:r>
              <w:rPr>
                <w:rFonts w:hint="eastAsia"/>
              </w:rPr>
              <w:t>设计开发的主体：</w:t>
            </w:r>
            <w:r>
              <w:rPr>
                <w:rFonts w:hint="eastAsia"/>
              </w:rPr>
              <w:sym w:font="Wingdings" w:char="00A8"/>
            </w:r>
            <w:r>
              <w:rPr>
                <w:rFonts w:hint="eastAsia"/>
              </w:rPr>
              <w:t xml:space="preserve">自主开发  </w:t>
            </w:r>
            <w:r>
              <w:rPr>
                <w:rFonts w:hint="eastAsia"/>
              </w:rPr>
              <w:sym w:font="Wingdings" w:char="00A8"/>
            </w:r>
            <w:r>
              <w:rPr>
                <w:rFonts w:hint="eastAsia"/>
              </w:rPr>
              <w:t xml:space="preserve">外包   </w:t>
            </w:r>
            <w:r>
              <w:rPr>
                <w:rFonts w:hint="eastAsia"/>
              </w:rPr>
              <w:sym w:font="Wingdings" w:char="00A8"/>
            </w:r>
            <w:r>
              <w:rPr>
                <w:rFonts w:hint="eastAsia"/>
              </w:rPr>
              <w:t>购买新</w:t>
            </w:r>
            <w:r>
              <w:rPr>
                <w:rFonts w:hint="eastAsia"/>
                <w:lang w:val="en-US" w:eastAsia="zh-CN"/>
              </w:rPr>
              <w:t>产品</w:t>
            </w:r>
          </w:p>
          <w:p>
            <w:pPr>
              <w:pStyle w:val="16"/>
              <w:ind w:left="0" w:leftChars="0" w:firstLine="0" w:firstLineChars="0"/>
              <w:rPr>
                <w:rFonts w:hint="eastAsia"/>
              </w:rPr>
            </w:pPr>
          </w:p>
          <w:p>
            <w:pPr>
              <w:rPr>
                <w:rFonts w:hint="default" w:eastAsia="宋体"/>
                <w:lang w:val="en-US" w:eastAsia="zh-CN"/>
              </w:rPr>
            </w:pPr>
            <w:r>
              <w:rPr>
                <w:rFonts w:hint="eastAsia"/>
              </w:rPr>
              <w:t>抽取设计开发项目</w:t>
            </w:r>
            <w:r>
              <w:rPr>
                <w:rFonts w:hint="eastAsia"/>
                <w:lang w:eastAsia="zh-CN"/>
              </w:rPr>
              <w:t>：</w:t>
            </w:r>
          </w:p>
          <w:tbl>
            <w:tblPr>
              <w:tblStyle w:val="1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4440"/>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r>
                    <w:rPr>
                      <w:rFonts w:hint="eastAsia"/>
                    </w:rPr>
                    <w:t>项目名称：</w:t>
                  </w:r>
                </w:p>
              </w:tc>
              <w:tc>
                <w:tcPr>
                  <w:tcW w:w="4440" w:type="dxa"/>
                </w:tcPr>
                <w:p>
                  <w:pPr>
                    <w:rPr>
                      <w:rFonts w:hint="default" w:eastAsia="宋体"/>
                      <w:lang w:val="en-US" w:eastAsia="zh-CN"/>
                    </w:rPr>
                  </w:pPr>
                  <w:r>
                    <w:rPr>
                      <w:rFonts w:hint="eastAsia"/>
                      <w:lang w:val="en-US" w:eastAsia="zh-CN"/>
                    </w:rPr>
                    <w:t>烫光机</w:t>
                  </w:r>
                </w:p>
              </w:tc>
              <w:tc>
                <w:tcPr>
                  <w:tcW w:w="2109"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r>
                    <w:rPr>
                      <w:rFonts w:hint="eastAsia"/>
                    </w:rPr>
                    <w:t>设计开发的性质</w:t>
                  </w:r>
                </w:p>
              </w:tc>
              <w:tc>
                <w:tcPr>
                  <w:tcW w:w="4440" w:type="dxa"/>
                </w:tcPr>
                <w:p>
                  <w:r>
                    <w:rPr>
                      <w:rFonts w:hint="eastAsia"/>
                    </w:rPr>
                    <w:sym w:font="Wingdings" w:char="00A8"/>
                  </w:r>
                  <w:r>
                    <w:rPr>
                      <w:rFonts w:hint="eastAsia"/>
                    </w:rPr>
                    <w:t xml:space="preserve">新产品 </w:t>
                  </w:r>
                  <w:r>
                    <w:rPr>
                      <w:rFonts w:hint="eastAsia"/>
                    </w:rPr>
                    <w:sym w:font="Wingdings" w:char="00A8"/>
                  </w:r>
                  <w:r>
                    <w:rPr>
                      <w:rFonts w:hint="eastAsia"/>
                    </w:rPr>
                    <w:t xml:space="preserve">新服务项目 </w:t>
                  </w:r>
                  <w:r>
                    <w:rPr>
                      <w:rFonts w:hint="eastAsia"/>
                    </w:rPr>
                    <w:sym w:font="Wingdings" w:char="00A8"/>
                  </w:r>
                  <w:r>
                    <w:rPr>
                      <w:rFonts w:hint="eastAsia"/>
                    </w:rPr>
                    <w:t>技术改进</w:t>
                  </w:r>
                </w:p>
              </w:tc>
              <w:tc>
                <w:tcPr>
                  <w:tcW w:w="2109"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r>
                    <w:rPr>
                      <w:rFonts w:hint="eastAsia"/>
                    </w:rPr>
                    <w:t>使用原材料的考虑</w:t>
                  </w:r>
                </w:p>
              </w:tc>
              <w:tc>
                <w:tcPr>
                  <w:tcW w:w="4440" w:type="dxa"/>
                </w:tcPr>
                <w:p/>
              </w:tc>
              <w:tc>
                <w:tcPr>
                  <w:tcW w:w="2109" w:type="dxa"/>
                </w:tcPr>
                <w:p>
                  <w:r>
                    <w:rPr>
                      <w:rFonts w:hint="eastAsia"/>
                      <w:color w:val="000000"/>
                      <w:szCs w:val="21"/>
                      <w:lang w:eastAsia="zh-CN"/>
                    </w:rPr>
                    <w:sym w:font="Wingdings 2" w:char="00A3"/>
                  </w:r>
                  <w:r>
                    <w:rPr>
                      <w:rFonts w:hint="eastAsia"/>
                    </w:rPr>
                    <w:t xml:space="preserve">充分 </w:t>
                  </w:r>
                  <w:r>
                    <w:rPr>
                      <w:rFonts w:hint="eastAsia"/>
                      <w:color w:val="000000"/>
                      <w:szCs w:val="21"/>
                    </w:rPr>
                    <w:t>□</w:t>
                  </w:r>
                  <w:r>
                    <w:rPr>
                      <w:rFonts w:hint="eastAsia"/>
                    </w:rPr>
                    <w:t>不充分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r>
                    <w:rPr>
                      <w:rFonts w:hint="eastAsia"/>
                    </w:rPr>
                    <w:t>生产过程中能源的消耗</w:t>
                  </w:r>
                </w:p>
              </w:tc>
              <w:tc>
                <w:tcPr>
                  <w:tcW w:w="4440" w:type="dxa"/>
                </w:tcPr>
                <w:p>
                  <w:pPr>
                    <w:rPr>
                      <w:rFonts w:hint="default" w:eastAsia="宋体"/>
                      <w:lang w:val="en-US" w:eastAsia="zh-CN"/>
                    </w:rPr>
                  </w:pPr>
                </w:p>
              </w:tc>
              <w:tc>
                <w:tcPr>
                  <w:tcW w:w="2109" w:type="dxa"/>
                </w:tcPr>
                <w:p>
                  <w:r>
                    <w:rPr>
                      <w:rFonts w:hint="eastAsia"/>
                      <w:color w:val="000000"/>
                      <w:szCs w:val="21"/>
                    </w:rPr>
                    <w:sym w:font="Wingdings 2" w:char="00A3"/>
                  </w:r>
                  <w:r>
                    <w:rPr>
                      <w:rFonts w:hint="eastAsia"/>
                    </w:rPr>
                    <w:t xml:space="preserve">充分 </w:t>
                  </w:r>
                  <w:r>
                    <w:rPr>
                      <w:rFonts w:hint="eastAsia"/>
                      <w:color w:val="000000"/>
                      <w:szCs w:val="21"/>
                    </w:rPr>
                    <w:t>□</w:t>
                  </w:r>
                  <w:r>
                    <w:rPr>
                      <w:rFonts w:hint="eastAsia"/>
                    </w:rPr>
                    <w:t>不充分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r>
                    <w:rPr>
                      <w:rFonts w:hint="eastAsia"/>
                    </w:rPr>
                    <w:t>使用过程中能源的消耗</w:t>
                  </w:r>
                </w:p>
              </w:tc>
              <w:tc>
                <w:tcPr>
                  <w:tcW w:w="4440" w:type="dxa"/>
                </w:tcPr>
                <w:p/>
              </w:tc>
              <w:tc>
                <w:tcPr>
                  <w:tcW w:w="2109" w:type="dxa"/>
                </w:tcPr>
                <w:p>
                  <w:r>
                    <w:rPr>
                      <w:rFonts w:hint="eastAsia"/>
                      <w:color w:val="000000"/>
                      <w:szCs w:val="21"/>
                    </w:rPr>
                    <w:t>□</w:t>
                  </w:r>
                  <w:r>
                    <w:rPr>
                      <w:rFonts w:hint="eastAsia"/>
                    </w:rPr>
                    <w:t xml:space="preserve">充分 </w:t>
                  </w:r>
                  <w:r>
                    <w:rPr>
                      <w:rFonts w:hint="eastAsia"/>
                      <w:color w:val="000000"/>
                      <w:szCs w:val="21"/>
                      <w:lang w:eastAsia="zh-CN"/>
                    </w:rPr>
                    <w:t>□</w:t>
                  </w:r>
                  <w:r>
                    <w:rPr>
                      <w:rFonts w:hint="eastAsia"/>
                    </w:rPr>
                    <w:t>不充分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tc>
              <w:tc>
                <w:tcPr>
                  <w:tcW w:w="4440" w:type="dxa"/>
                </w:tcPr>
                <w:p/>
              </w:tc>
              <w:tc>
                <w:tcPr>
                  <w:tcW w:w="2109" w:type="dxa"/>
                </w:tcPr>
                <w:p/>
              </w:tc>
            </w:tr>
          </w:tbl>
          <w:p>
            <w:pPr>
              <w:pStyle w:val="16"/>
              <w:ind w:left="0" w:leftChars="0" w:firstLine="0" w:firstLineChars="0"/>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满足要求。</w:t>
            </w:r>
          </w:p>
          <w:p>
            <w:pPr>
              <w:pStyle w:val="16"/>
              <w:ind w:left="0" w:leftChars="0" w:firstLine="0" w:firstLineChars="0"/>
              <w:rPr>
                <w:rFonts w:hint="eastAsia" w:ascii="Times New Roman" w:hAnsi="Times New Roman" w:eastAsia="宋体" w:cs="Times New Roman"/>
                <w:kern w:val="2"/>
                <w:sz w:val="24"/>
                <w:lang w:val="en-US" w:eastAsia="zh-CN" w:bidi="ar-SA"/>
              </w:rPr>
            </w:pPr>
          </w:p>
        </w:tc>
        <w:tc>
          <w:tcPr>
            <w:tcW w:w="1293" w:type="dxa"/>
            <w:vMerge w:val="continue"/>
          </w:tcPr>
          <w:p>
            <w:pPr>
              <w:pStyle w:val="2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restart"/>
            <w:vAlign w:val="top"/>
          </w:tcPr>
          <w:p>
            <w:pPr>
              <w:rPr>
                <w:rFonts w:hint="eastAsia" w:ascii="Times New Roman" w:hAnsi="Times New Roman" w:eastAsia="宋体" w:cs="Times New Roman"/>
                <w:kern w:val="2"/>
                <w:sz w:val="21"/>
                <w:lang w:val="en-US" w:eastAsia="zh-CN" w:bidi="ar-SA"/>
              </w:rPr>
            </w:pPr>
            <w:r>
              <w:rPr>
                <w:rFonts w:hint="eastAsia"/>
                <w:lang w:val="en-US" w:eastAsia="zh-CN"/>
              </w:rPr>
              <w:t>能源采购/用能设备采购</w:t>
            </w:r>
          </w:p>
        </w:tc>
        <w:tc>
          <w:tcPr>
            <w:tcW w:w="1216"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En8.3</w:t>
            </w: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vAlign w:val="top"/>
          </w:tcPr>
          <w:p>
            <w:pPr>
              <w:rPr>
                <w:rFonts w:hint="eastAsia" w:ascii="Times New Roman" w:hAnsi="Times New Roman" w:eastAsia="宋体" w:cs="Times New Roman"/>
                <w:kern w:val="2"/>
                <w:sz w:val="21"/>
                <w:lang w:val="en-US" w:eastAsia="zh-CN" w:bidi="ar-SA"/>
              </w:rPr>
            </w:pPr>
            <w:r>
              <w:rPr>
                <w:rFonts w:hint="eastAsia"/>
              </w:rPr>
              <w:t>如：</w:t>
            </w:r>
            <w:r>
              <w:rPr>
                <w:rFonts w:hint="eastAsia"/>
                <w:strike w:val="0"/>
                <w:dstrike w:val="0"/>
                <w:highlight w:val="none"/>
                <w:lang w:val="en-US" w:eastAsia="zh-CN"/>
              </w:rPr>
              <w:t>手册8.3条款，</w:t>
            </w:r>
            <w:r>
              <w:rPr>
                <w:rFonts w:hint="eastAsia"/>
              </w:rPr>
              <w:t>《采购控制程序》</w:t>
            </w:r>
          </w:p>
        </w:tc>
        <w:tc>
          <w:tcPr>
            <w:tcW w:w="1293" w:type="dxa"/>
            <w:vMerge w:val="restart"/>
          </w:tcPr>
          <w:p>
            <w:r>
              <w:rPr/>
              <w:sym w:font="Wingdings" w:char="00FE"/>
            </w:r>
            <w:r>
              <w:rPr>
                <w:rFonts w:hint="eastAsia"/>
              </w:rPr>
              <w:t>符合</w:t>
            </w:r>
          </w:p>
          <w:p>
            <w:pPr>
              <w:rPr>
                <w:highlight w:val="none"/>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continue"/>
          </w:tcPr>
          <w:p>
            <w:pPr>
              <w:rPr>
                <w:rFonts w:hint="eastAsia"/>
                <w:lang w:val="en-US" w:eastAsia="zh-CN"/>
              </w:rPr>
            </w:pPr>
          </w:p>
        </w:tc>
        <w:tc>
          <w:tcPr>
            <w:tcW w:w="1216" w:type="dxa"/>
          </w:tcPr>
          <w:p>
            <w:pPr>
              <w:pStyle w:val="21"/>
              <w:rPr>
                <w:rFonts w:hint="eastAsia"/>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运行记录</w:t>
            </w:r>
          </w:p>
        </w:tc>
        <w:tc>
          <w:tcPr>
            <w:tcW w:w="9766" w:type="dxa"/>
            <w:vAlign w:val="top"/>
          </w:tcPr>
          <w:p>
            <w:r>
              <w:rPr>
                <w:rFonts w:hint="eastAsia"/>
              </w:rPr>
              <w:t>主要耗能设备、能源采购有关的过程</w:t>
            </w:r>
            <w:r>
              <w:rPr>
                <w:rFonts w:hint="eastAsia"/>
                <w:lang w:eastAsia="zh-CN"/>
              </w:rPr>
              <w:t>，</w:t>
            </w:r>
            <w:r>
              <w:rPr>
                <w:rFonts w:hint="eastAsia"/>
              </w:rPr>
              <w:t>包括：</w:t>
            </w:r>
          </w:p>
          <w:p>
            <w:pPr>
              <w:spacing w:before="40" w:after="40"/>
              <w:ind w:firstLine="210" w:firstLineChars="100"/>
            </w:pPr>
            <w:r>
              <w:rPr>
                <w:rFonts w:hint="eastAsia"/>
                <w:lang w:eastAsia="zh-CN"/>
              </w:rPr>
              <w:t>☑</w:t>
            </w:r>
            <w:r>
              <w:rPr>
                <w:rFonts w:hint="eastAsia"/>
              </w:rPr>
              <w:t xml:space="preserve">能源采购 </w:t>
            </w:r>
            <w:r>
              <w:rPr>
                <w:rFonts w:hint="eastAsia"/>
              </w:rPr>
              <w:sym w:font="Wingdings" w:char="00FE"/>
            </w:r>
            <w:r>
              <w:rPr>
                <w:rFonts w:hint="eastAsia"/>
              </w:rPr>
              <w:t>主要耗能设备（</w:t>
            </w:r>
            <w:r>
              <w:rPr>
                <w:rFonts w:hint="eastAsia"/>
              </w:rPr>
              <w:sym w:font="Wingdings" w:char="00A8"/>
            </w:r>
            <w:r>
              <w:rPr>
                <w:rFonts w:hint="eastAsia"/>
              </w:rPr>
              <w:t xml:space="preserve">压缩机 </w:t>
            </w:r>
            <w:r>
              <w:rPr>
                <w:rFonts w:hint="eastAsia"/>
              </w:rPr>
              <w:sym w:font="Wingdings" w:char="00A8"/>
            </w:r>
            <w:r>
              <w:rPr>
                <w:rFonts w:hint="eastAsia"/>
              </w:rPr>
              <w:t xml:space="preserve">锅炉 </w:t>
            </w:r>
            <w:r>
              <w:rPr>
                <w:rFonts w:hint="eastAsia"/>
              </w:rPr>
              <w:sym w:font="Wingdings" w:char="00A8"/>
            </w:r>
            <w:r>
              <w:rPr>
                <w:rFonts w:hint="eastAsia"/>
              </w:rPr>
              <w:t xml:space="preserve">加热炉  </w:t>
            </w:r>
            <w:r>
              <w:rPr>
                <w:rFonts w:hint="eastAsia"/>
              </w:rPr>
              <w:sym w:font="Wingdings" w:char="00A8"/>
            </w:r>
            <w:r>
              <w:rPr>
                <w:rFonts w:hint="eastAsia"/>
              </w:rPr>
              <w:t xml:space="preserve">电机  </w:t>
            </w:r>
            <w:r>
              <w:rPr>
                <w:rFonts w:hint="eastAsia"/>
              </w:rPr>
              <w:sym w:font="Wingdings" w:char="00FE"/>
            </w:r>
            <w:r>
              <w:rPr>
                <w:rFonts w:hint="eastAsia"/>
              </w:rPr>
              <w:t>机泵等） □其他</w:t>
            </w:r>
          </w:p>
          <w:p>
            <w:pPr>
              <w:pStyle w:val="5"/>
              <w:ind w:left="0" w:leftChars="0" w:firstLine="0" w:firstLineChars="0"/>
              <w:rPr>
                <w:rFonts w:hint="eastAsia" w:ascii="Times New Roman" w:hAnsi="Times New Roman" w:eastAsia="宋体" w:cs="Times New Roman"/>
                <w:bCs/>
                <w:spacing w:val="10"/>
                <w:kern w:val="2"/>
                <w:sz w:val="21"/>
                <w:lang w:val="en-US" w:eastAsia="zh-CN" w:bidi="ar-SA"/>
              </w:rPr>
            </w:pPr>
            <w:r>
              <w:rPr>
                <w:rFonts w:hint="eastAsia"/>
                <w:highlight w:val="none"/>
                <w:lang w:val="en-US" w:eastAsia="zh-CN"/>
              </w:rPr>
              <w:t>用电用水的采购：用电、用水无合同。已提醒关注。</w:t>
            </w:r>
          </w:p>
        </w:tc>
        <w:tc>
          <w:tcPr>
            <w:tcW w:w="1293"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能源绩效和EnMS的监视、测量、分析和评价</w:t>
            </w:r>
          </w:p>
          <w:p>
            <w:pPr>
              <w:numPr>
                <w:ilvl w:val="0"/>
                <w:numId w:val="0"/>
              </w:numPr>
              <w:ind w:left="0" w:leftChars="0" w:firstLine="240" w:firstLineChars="100"/>
              <w:rPr>
                <w:rFonts w:hint="eastAsia" w:ascii="宋体" w:hAnsi="宋体" w:eastAsia="宋体" w:cs="宋体"/>
                <w:kern w:val="2"/>
                <w:sz w:val="24"/>
                <w:szCs w:val="24"/>
                <w:lang w:val="en-US" w:eastAsia="zh-CN" w:bidi="ar-SA"/>
              </w:rPr>
            </w:pPr>
          </w:p>
        </w:tc>
        <w:tc>
          <w:tcPr>
            <w:tcW w:w="1216" w:type="dxa"/>
            <w:vAlign w:val="top"/>
          </w:tcPr>
          <w:p>
            <w:pPr>
              <w:numPr>
                <w:ilvl w:val="0"/>
                <w:numId w:val="0"/>
              </w:numP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En9.1.1</w:t>
            </w:r>
          </w:p>
          <w:p>
            <w:pPr>
              <w:numPr>
                <w:ilvl w:val="0"/>
                <w:numId w:val="0"/>
              </w:numPr>
              <w:ind w:left="0" w:leftChars="0" w:firstLine="210" w:firstLineChars="100"/>
              <w:rPr>
                <w:rFonts w:hint="eastAsia" w:ascii="Times New Roman" w:hAnsi="Times New Roman" w:eastAsia="宋体" w:cs="Times New Roman"/>
                <w:kern w:val="2"/>
                <w:sz w:val="21"/>
                <w:szCs w:val="22"/>
                <w:lang w:val="en-US" w:eastAsia="zh-CN" w:bidi="ar-SA"/>
              </w:rPr>
            </w:pPr>
          </w:p>
        </w:tc>
        <w:tc>
          <w:tcPr>
            <w:tcW w:w="10482" w:type="dxa"/>
            <w:gridSpan w:val="2"/>
            <w:vAlign w:val="top"/>
          </w:tcPr>
          <w:p>
            <w:pPr>
              <w:pStyle w:val="26"/>
              <w:keepNext w:val="0"/>
              <w:keepLines w:val="0"/>
              <w:pageBreakBefore w:val="0"/>
              <w:widowControl w:val="0"/>
              <w:numPr>
                <w:ilvl w:val="0"/>
                <w:numId w:val="0"/>
              </w:numPr>
              <w:tabs>
                <w:tab w:val="left" w:pos="1936"/>
              </w:tabs>
              <w:kinsoku/>
              <w:wordWrap/>
              <w:overflowPunct/>
              <w:topLinePunct w:val="0"/>
              <w:autoSpaceDE/>
              <w:autoSpaceDN/>
              <w:bidi w:val="0"/>
              <w:adjustRightInd/>
              <w:snapToGrid/>
              <w:spacing w:before="120" w:after="0" w:line="240" w:lineRule="auto"/>
              <w:ind w:right="0" w:rightChars="0"/>
              <w:jc w:val="left"/>
              <w:textAlignment w:val="auto"/>
              <w:rPr>
                <w:rFonts w:hint="eastAsia"/>
                <w:lang w:val="en-US" w:eastAsia="zh-CN"/>
              </w:rPr>
            </w:pPr>
            <w:r>
              <w:rPr>
                <w:rFonts w:hint="eastAsia"/>
                <w:lang w:val="en-US" w:eastAsia="zh-CN"/>
              </w:rPr>
              <w:t>查《监视、测量和分析控制程序》规定的监测内容包括 ：有关法律法规的遵循情况；体系运行的覆盖情况；用能系统、过程和环节是否在规定状态下运行；目标、指标的实现情况和能源管理方案的进展情况；考核制度的落实情况；能源计量、统计制度的执行情况；设施设备的运行、维护和鉴定情况；</w:t>
            </w:r>
          </w:p>
          <w:p>
            <w:pPr>
              <w:keepNext w:val="0"/>
              <w:keepLines w:val="0"/>
              <w:pageBreakBefore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有关法律法规的遵循情况；见9.1.2审核记录；</w:t>
            </w:r>
          </w:p>
          <w:p>
            <w:pPr>
              <w:keepNext w:val="0"/>
              <w:keepLines w:val="0"/>
              <w:pageBreakBefore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体系运行的覆盖情况；见内审记录、管理层管理评审记录；</w:t>
            </w:r>
          </w:p>
          <w:p>
            <w:pPr>
              <w:keepNext w:val="0"/>
              <w:keepLines w:val="0"/>
              <w:pageBreakBefore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用能系统、过程和环节是否在规定状态下运行；巡视未发现不正常状态；</w:t>
            </w:r>
          </w:p>
          <w:p>
            <w:pPr>
              <w:keepNext w:val="0"/>
              <w:keepLines w:val="0"/>
              <w:pageBreakBefore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目标、指标的实现情况和能源管理方案的进展情况；2022年目标指标已完成。日常能源绩效按照考核制度的落实情况；按照考核制度执行。</w:t>
            </w:r>
          </w:p>
          <w:p>
            <w:pPr>
              <w:keepNext w:val="0"/>
              <w:keepLines w:val="0"/>
              <w:pageBreakBefore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能源计量、统计的执行情况；用于贸易结算的能源计量主要供电局供水、供天然气的部门安装并进行计量，</w:t>
            </w:r>
            <w:r>
              <w:rPr>
                <w:rFonts w:hint="eastAsia" w:cs="Times New Roman"/>
                <w:kern w:val="2"/>
                <w:sz w:val="21"/>
                <w:szCs w:val="22"/>
                <w:lang w:val="en-US" w:eastAsia="zh-CN" w:bidi="ar-SA"/>
              </w:rPr>
              <w:t>未提供相关证书或检定报告，已沟通。</w:t>
            </w:r>
          </w:p>
          <w:p>
            <w:pPr>
              <w:keepNext w:val="0"/>
              <w:keepLines w:val="0"/>
              <w:pageBreakBefore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组织提供的计算数据和分析：见6.6条款及8.1条款审核记录。</w:t>
            </w:r>
          </w:p>
          <w:p>
            <w:pPr>
              <w:pStyle w:val="16"/>
              <w:ind w:left="0" w:leftChars="0" w:firstLine="0" w:firstLineChars="0"/>
              <w:rPr>
                <w:rFonts w:hint="eastAsia" w:ascii="Times New Roman" w:hAnsi="Times New Roman" w:eastAsia="宋体" w:cs="Times New Roman"/>
                <w:bCs w:val="0"/>
                <w:spacing w:val="0"/>
                <w:kern w:val="2"/>
                <w:sz w:val="21"/>
                <w:szCs w:val="22"/>
                <w:lang w:val="en-US" w:eastAsia="zh-CN" w:bidi="ar-SA"/>
              </w:rPr>
            </w:pPr>
          </w:p>
        </w:tc>
        <w:tc>
          <w:tcPr>
            <w:tcW w:w="1293" w:type="dxa"/>
          </w:tcPr>
          <w:p>
            <w:r>
              <w:rPr/>
              <w:sym w:font="Wingdings" w:char="00FE"/>
            </w:r>
            <w:r>
              <w:rPr>
                <w:rFonts w:hint="eastAsia"/>
              </w:rPr>
              <w:t>符合</w:t>
            </w:r>
          </w:p>
          <w:p>
            <w:pPr>
              <w:rPr>
                <w:highlight w:val="none"/>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restart"/>
            <w:vAlign w:val="top"/>
          </w:tcPr>
          <w:p>
            <w:pPr>
              <w:rPr>
                <w:rFonts w:hint="eastAsia" w:ascii="Times New Roman" w:hAnsi="Times New Roman" w:eastAsia="宋体" w:cs="Times New Roman"/>
                <w:kern w:val="2"/>
                <w:sz w:val="21"/>
                <w:lang w:val="en-US" w:eastAsia="zh-CN" w:bidi="ar-SA"/>
              </w:rPr>
            </w:pPr>
            <w:r>
              <w:rPr>
                <w:rFonts w:hint="eastAsia" w:cs="Times New Roman"/>
                <w:kern w:val="2"/>
                <w:sz w:val="21"/>
                <w:lang w:val="en-US" w:eastAsia="zh-CN" w:bidi="ar-SA"/>
              </w:rPr>
              <w:t>与法律法规和其他要求合规性的评价</w:t>
            </w:r>
          </w:p>
        </w:tc>
        <w:tc>
          <w:tcPr>
            <w:tcW w:w="1216" w:type="dxa"/>
            <w:vMerge w:val="restart"/>
            <w:vAlign w:val="top"/>
          </w:tcPr>
          <w:p>
            <w:pPr>
              <w:rPr>
                <w:rFonts w:hint="eastAsia" w:ascii="Times New Roman" w:hAnsi="Times New Roman" w:eastAsia="宋体" w:cs="Times New Roman"/>
                <w:kern w:val="2"/>
                <w:sz w:val="21"/>
                <w:lang w:val="en-US" w:eastAsia="zh-CN" w:bidi="ar-SA"/>
              </w:rPr>
            </w:pPr>
            <w:r>
              <w:rPr>
                <w:rFonts w:hint="eastAsia"/>
                <w:color w:val="000000"/>
                <w:szCs w:val="21"/>
              </w:rPr>
              <w:t>En4.2/9.1.2</w:t>
            </w: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vAlign w:val="top"/>
          </w:tcPr>
          <w:p>
            <w:pPr>
              <w:rPr>
                <w:rFonts w:hint="eastAsia" w:ascii="Times New Roman" w:hAnsi="Times New Roman" w:eastAsia="宋体" w:cs="Times New Roman"/>
                <w:kern w:val="2"/>
                <w:sz w:val="21"/>
                <w:lang w:val="en-US" w:eastAsia="zh-CN" w:bidi="ar-SA"/>
              </w:rPr>
            </w:pPr>
            <w:r>
              <w:rPr>
                <w:rFonts w:hint="eastAsia"/>
              </w:rPr>
              <w:t>如：手册第</w:t>
            </w:r>
            <w:r>
              <w:rPr>
                <w:rFonts w:hint="eastAsia"/>
                <w:lang w:val="en-US" w:eastAsia="zh-CN"/>
              </w:rPr>
              <w:t>4.2</w:t>
            </w:r>
            <w:r>
              <w:rPr>
                <w:rFonts w:hint="eastAsia"/>
              </w:rPr>
              <w:t>条款</w:t>
            </w:r>
            <w:r>
              <w:rPr>
                <w:rFonts w:hint="eastAsia"/>
                <w:lang w:val="en-US" w:eastAsia="zh-CN"/>
              </w:rPr>
              <w:t>和9.1.2条款</w:t>
            </w:r>
            <w:r>
              <w:rPr>
                <w:rFonts w:hint="eastAsia"/>
              </w:rPr>
              <w:t>、《</w:t>
            </w:r>
            <w:r>
              <w:rPr>
                <w:rFonts w:hint="eastAsia"/>
                <w:szCs w:val="22"/>
                <w:lang w:val="en-US" w:eastAsia="zh-CN"/>
              </w:rPr>
              <w:t>法律、法规及其它要求的识别控制程序》</w:t>
            </w:r>
            <w:r>
              <w:rPr>
                <w:rFonts w:hint="eastAsia"/>
              </w:rPr>
              <w:t>、《法律法规其他要求清单》</w:t>
            </w:r>
            <w:r>
              <w:rPr>
                <w:rFonts w:hint="eastAsia"/>
                <w:lang w:eastAsia="zh-CN"/>
              </w:rPr>
              <w:t>《</w:t>
            </w:r>
            <w:r>
              <w:rPr>
                <w:rFonts w:hint="eastAsia"/>
                <w:lang w:val="en-US" w:eastAsia="zh-CN"/>
              </w:rPr>
              <w:t>合规性评价报告</w:t>
            </w:r>
            <w:r>
              <w:rPr>
                <w:rFonts w:hint="eastAsia"/>
                <w:lang w:eastAsia="zh-CN"/>
              </w:rPr>
              <w:t>》</w:t>
            </w:r>
          </w:p>
        </w:tc>
        <w:tc>
          <w:tcPr>
            <w:tcW w:w="1293" w:type="dxa"/>
            <w:vMerge w:val="restart"/>
          </w:tcPr>
          <w:p>
            <w:r>
              <w:rPr/>
              <w:sym w:font="Wingdings" w:char="00FE"/>
            </w:r>
            <w:r>
              <w:rPr>
                <w:rFonts w:hint="eastAsia"/>
              </w:rPr>
              <w:t>符合</w:t>
            </w:r>
          </w:p>
          <w:p>
            <w:pPr>
              <w:rPr>
                <w:highlight w:val="none"/>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8" w:hRule="atLeast"/>
        </w:trPr>
        <w:tc>
          <w:tcPr>
            <w:tcW w:w="1226" w:type="dxa"/>
            <w:vMerge w:val="continue"/>
            <w:vAlign w:val="top"/>
          </w:tcPr>
          <w:p>
            <w:pPr>
              <w:rPr>
                <w:rFonts w:hint="eastAsia" w:ascii="Times New Roman" w:hAnsi="Times New Roman" w:eastAsia="宋体" w:cs="Times New Roman"/>
                <w:kern w:val="2"/>
                <w:sz w:val="21"/>
                <w:lang w:val="en-US" w:eastAsia="zh-CN" w:bidi="ar-SA"/>
              </w:rPr>
            </w:pPr>
          </w:p>
        </w:tc>
        <w:tc>
          <w:tcPr>
            <w:tcW w:w="1216" w:type="dxa"/>
            <w:vMerge w:val="continue"/>
            <w:vAlign w:val="top"/>
          </w:tcPr>
          <w:p>
            <w:pPr>
              <w:rPr>
                <w:rFonts w:hint="eastAsia" w:ascii="Times New Roman" w:hAnsi="Times New Roman" w:eastAsia="宋体" w:cs="Times New Roman"/>
                <w:kern w:val="2"/>
                <w:sz w:val="21"/>
                <w:lang w:val="en-US" w:eastAsia="zh-CN" w:bidi="ar-SA"/>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vAlign w:val="top"/>
          </w:tcPr>
          <w:p>
            <w:r>
              <w:rPr>
                <w:rFonts w:hint="eastAsia"/>
              </w:rPr>
              <w:t>组织收集法律法规和其他要求的渠道：</w:t>
            </w:r>
          </w:p>
          <w:p>
            <w:r>
              <w:rPr>
                <w:color w:val="000000"/>
              </w:rPr>
              <w:sym w:font="Wingdings" w:char="00FE"/>
            </w:r>
            <w:r>
              <w:rPr>
                <w:rFonts w:hint="eastAsia"/>
                <w:color w:val="000000"/>
              </w:rPr>
              <w:t xml:space="preserve">专业网站  </w:t>
            </w:r>
            <w:r>
              <w:rPr>
                <w:color w:val="000000"/>
              </w:rPr>
              <w:sym w:font="Wingdings" w:char="00FE"/>
            </w:r>
            <w:r>
              <w:rPr>
                <w:rFonts w:hint="eastAsia"/>
                <w:color w:val="000000"/>
              </w:rPr>
              <w:t xml:space="preserve">主管机构    </w:t>
            </w:r>
            <w:r>
              <w:rPr>
                <w:color w:val="000000"/>
              </w:rPr>
              <w:sym w:font="Wingdings" w:char="00FE"/>
            </w:r>
            <w:r>
              <w:rPr>
                <w:rFonts w:hint="eastAsia"/>
                <w:color w:val="000000"/>
              </w:rPr>
              <w:t xml:space="preserve">专业书店   </w:t>
            </w:r>
            <w:r>
              <w:rPr>
                <w:color w:val="000000"/>
              </w:rPr>
              <w:sym w:font="Wingdings" w:char="00A8"/>
            </w:r>
            <w:r>
              <w:rPr>
                <w:rFonts w:hint="eastAsia"/>
                <w:color w:val="000000"/>
              </w:rPr>
              <w:t>其他</w:t>
            </w:r>
          </w:p>
          <w:p/>
          <w:p>
            <w:r>
              <w:rPr>
                <w:rFonts w:hint="eastAsia"/>
              </w:rPr>
              <w:t>列举主要的相关法律法规</w:t>
            </w:r>
            <w:r>
              <w:rPr>
                <w:rFonts w:hint="eastAsia"/>
                <w:lang w:val="en-US" w:eastAsia="zh-CN"/>
              </w:rPr>
              <w:t>、标准</w:t>
            </w:r>
            <w:r>
              <w:rPr>
                <w:rFonts w:hint="eastAsia"/>
              </w:rPr>
              <w:t>是：</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9"/>
              <w:gridCol w:w="1073"/>
              <w:gridCol w:w="1466"/>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459" w:type="dxa"/>
                  <w:shd w:val="clear" w:color="auto" w:fill="auto"/>
                </w:tcPr>
                <w:p>
                  <w:pPr>
                    <w:rPr>
                      <w:rFonts w:ascii="宋体" w:hAnsi="宋体"/>
                      <w:szCs w:val="24"/>
                    </w:rPr>
                  </w:pPr>
                  <w:r>
                    <w:rPr>
                      <w:rFonts w:hint="eastAsia" w:ascii="宋体" w:hAnsi="宋体"/>
                      <w:szCs w:val="24"/>
                    </w:rPr>
                    <w:t>法律法规名称</w:t>
                  </w:r>
                </w:p>
              </w:tc>
              <w:tc>
                <w:tcPr>
                  <w:tcW w:w="1073" w:type="dxa"/>
                  <w:shd w:val="clear" w:color="auto" w:fill="auto"/>
                </w:tcPr>
                <w:p>
                  <w:pPr>
                    <w:rPr>
                      <w:rFonts w:ascii="宋体" w:hAnsi="宋体"/>
                      <w:szCs w:val="24"/>
                    </w:rPr>
                  </w:pPr>
                  <w:r>
                    <w:rPr>
                      <w:rFonts w:hint="eastAsia" w:ascii="宋体" w:hAnsi="宋体"/>
                      <w:szCs w:val="24"/>
                    </w:rPr>
                    <w:t>具体条款</w:t>
                  </w:r>
                </w:p>
              </w:tc>
              <w:tc>
                <w:tcPr>
                  <w:tcW w:w="1466" w:type="dxa"/>
                  <w:shd w:val="clear" w:color="auto" w:fill="auto"/>
                </w:tcPr>
                <w:p>
                  <w:pPr>
                    <w:rPr>
                      <w:rFonts w:ascii="宋体" w:hAnsi="宋体"/>
                      <w:szCs w:val="24"/>
                    </w:rPr>
                  </w:pPr>
                  <w:r>
                    <w:rPr>
                      <w:rFonts w:hint="eastAsia" w:ascii="宋体" w:hAnsi="宋体"/>
                      <w:szCs w:val="24"/>
                    </w:rPr>
                    <w:t>应用过程</w:t>
                  </w:r>
                </w:p>
              </w:tc>
              <w:tc>
                <w:tcPr>
                  <w:tcW w:w="1453" w:type="dxa"/>
                  <w:shd w:val="clear" w:color="auto" w:fill="auto"/>
                </w:tcPr>
                <w:p>
                  <w:pPr>
                    <w:rPr>
                      <w:rFonts w:ascii="宋体" w:hAnsi="宋体"/>
                      <w:szCs w:val="24"/>
                    </w:rPr>
                  </w:pPr>
                  <w:r>
                    <w:rPr>
                      <w:rFonts w:hint="eastAsia" w:ascii="宋体" w:hAnsi="宋体"/>
                      <w:szCs w:val="24"/>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59" w:type="dxa"/>
                  <w:shd w:val="clear" w:color="auto" w:fill="auto"/>
                </w:tcPr>
                <w:p>
                  <w:pP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中华人民共和国节约能源法</w:t>
                  </w:r>
                </w:p>
              </w:tc>
              <w:tc>
                <w:tcPr>
                  <w:tcW w:w="1073" w:type="dxa"/>
                  <w:shd w:val="clear" w:color="auto" w:fill="auto"/>
                </w:tcPr>
                <w:p>
                  <w:pPr>
                    <w:rPr>
                      <w:rFonts w:hint="default" w:ascii="宋体" w:hAnsi="宋体" w:eastAsia="宋体"/>
                      <w:szCs w:val="24"/>
                      <w:lang w:val="en-US" w:eastAsia="zh-CN"/>
                    </w:rPr>
                  </w:pPr>
                  <w:r>
                    <w:rPr>
                      <w:rFonts w:hint="eastAsia" w:ascii="宋体" w:hAnsi="宋体"/>
                      <w:szCs w:val="24"/>
                      <w:lang w:val="en-US" w:eastAsia="zh-CN"/>
                    </w:rPr>
                    <w:t>有关要求</w:t>
                  </w:r>
                </w:p>
              </w:tc>
              <w:tc>
                <w:tcPr>
                  <w:tcW w:w="1466" w:type="dxa"/>
                  <w:shd w:val="clear" w:color="auto" w:fill="auto"/>
                </w:tcPr>
                <w:p>
                  <w:pPr>
                    <w:rPr>
                      <w:rFonts w:hint="eastAsia" w:ascii="宋体" w:hAnsi="宋体" w:eastAsia="宋体"/>
                      <w:szCs w:val="24"/>
                      <w:lang w:val="en-US" w:eastAsia="zh-CN"/>
                    </w:rPr>
                  </w:pPr>
                  <w:r>
                    <w:rPr>
                      <w:rFonts w:hint="eastAsia" w:ascii="宋体" w:hAnsi="宋体"/>
                      <w:szCs w:val="24"/>
                      <w:lang w:val="en-US" w:eastAsia="zh-CN"/>
                    </w:rPr>
                    <w:t>按法律执行</w:t>
                  </w:r>
                </w:p>
              </w:tc>
              <w:tc>
                <w:tcPr>
                  <w:tcW w:w="1453" w:type="dxa"/>
                  <w:shd w:val="clear" w:color="auto" w:fill="auto"/>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节能减排股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shd w:val="clear" w:color="auto" w:fill="auto"/>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GB17167-2006用能单位能源计量器具配备及管理导则</w:t>
                  </w:r>
                </w:p>
              </w:tc>
              <w:tc>
                <w:tcPr>
                  <w:tcW w:w="1073" w:type="dxa"/>
                  <w:shd w:val="clear" w:color="auto" w:fill="auto"/>
                  <w:vAlign w:val="center"/>
                </w:tcPr>
                <w:p>
                  <w:pPr>
                    <w:rPr>
                      <w:rFonts w:hint="eastAsia" w:eastAsia="宋体"/>
                      <w:szCs w:val="24"/>
                      <w:lang w:val="en-US" w:eastAsia="zh-CN"/>
                    </w:rPr>
                  </w:pPr>
                  <w:r>
                    <w:rPr>
                      <w:rFonts w:hint="eastAsia"/>
                      <w:szCs w:val="24"/>
                      <w:lang w:val="en-US" w:eastAsia="zh-CN"/>
                    </w:rPr>
                    <w:t>全条款</w:t>
                  </w:r>
                </w:p>
              </w:tc>
              <w:tc>
                <w:tcPr>
                  <w:tcW w:w="1466" w:type="dxa"/>
                  <w:shd w:val="clear" w:color="auto" w:fill="auto"/>
                  <w:vAlign w:val="center"/>
                </w:tcPr>
                <w:p>
                  <w:pPr>
                    <w:rPr>
                      <w:rFonts w:hint="default" w:eastAsia="宋体"/>
                      <w:szCs w:val="24"/>
                      <w:lang w:val="en-US" w:eastAsia="zh-CN"/>
                    </w:rPr>
                  </w:pPr>
                  <w:r>
                    <w:rPr>
                      <w:rFonts w:hint="eastAsia"/>
                      <w:szCs w:val="24"/>
                      <w:lang w:val="en-US" w:eastAsia="zh-CN"/>
                    </w:rPr>
                    <w:t>按标准执行</w:t>
                  </w:r>
                </w:p>
              </w:tc>
              <w:tc>
                <w:tcPr>
                  <w:tcW w:w="1453" w:type="dxa"/>
                  <w:shd w:val="clear" w:color="auto" w:fill="auto"/>
                  <w:vAlign w:val="center"/>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节能减排股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shd w:val="clear" w:color="auto" w:fill="auto"/>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GB/T 2589- 2020</w:t>
                  </w:r>
                  <w:r>
                    <w:rPr>
                      <w:rFonts w:hint="eastAsia" w:ascii="Times New Roman" w:hAnsi="Times New Roman" w:eastAsia="宋体" w:cs="Times New Roman"/>
                      <w:szCs w:val="22"/>
                      <w:lang w:val="en-US" w:eastAsia="zh-CN"/>
                    </w:rPr>
                    <w:tab/>
                  </w:r>
                  <w:r>
                    <w:rPr>
                      <w:rFonts w:hint="eastAsia" w:ascii="Times New Roman" w:hAnsi="Times New Roman" w:eastAsia="宋体" w:cs="Times New Roman"/>
                      <w:szCs w:val="22"/>
                      <w:lang w:val="en-US" w:eastAsia="zh-CN"/>
                    </w:rPr>
                    <w:t>综合能耗计算通则</w:t>
                  </w:r>
                </w:p>
              </w:tc>
              <w:tc>
                <w:tcPr>
                  <w:tcW w:w="1073" w:type="dxa"/>
                  <w:shd w:val="clear" w:color="auto" w:fill="auto"/>
                  <w:vAlign w:val="center"/>
                </w:tcPr>
                <w:p>
                  <w:pPr>
                    <w:rPr>
                      <w:rFonts w:hint="eastAsia" w:ascii="宋体" w:hAnsi="宋体" w:eastAsia="宋体"/>
                      <w:szCs w:val="24"/>
                      <w:lang w:val="en-US" w:eastAsia="zh-CN"/>
                    </w:rPr>
                  </w:pPr>
                  <w:r>
                    <w:rPr>
                      <w:rFonts w:hint="eastAsia" w:ascii="宋体" w:hAnsi="宋体"/>
                      <w:szCs w:val="24"/>
                      <w:lang w:val="en-US" w:eastAsia="zh-CN"/>
                    </w:rPr>
                    <w:t>全条款</w:t>
                  </w:r>
                </w:p>
              </w:tc>
              <w:tc>
                <w:tcPr>
                  <w:tcW w:w="1466" w:type="dxa"/>
                  <w:shd w:val="clear" w:color="auto" w:fill="auto"/>
                  <w:vAlign w:val="center"/>
                </w:tcPr>
                <w:p>
                  <w:pPr>
                    <w:rPr>
                      <w:rFonts w:ascii="宋体" w:hAnsi="宋体"/>
                      <w:szCs w:val="24"/>
                    </w:rPr>
                  </w:pPr>
                  <w:r>
                    <w:rPr>
                      <w:rFonts w:hint="eastAsia"/>
                      <w:szCs w:val="24"/>
                      <w:lang w:val="en-US" w:eastAsia="zh-CN"/>
                    </w:rPr>
                    <w:t>按标准执行</w:t>
                  </w:r>
                </w:p>
              </w:tc>
              <w:tc>
                <w:tcPr>
                  <w:tcW w:w="1453" w:type="dxa"/>
                  <w:shd w:val="clear" w:color="auto" w:fill="auto"/>
                  <w:vAlign w:val="center"/>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节能减排股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shd w:val="clear" w:color="auto" w:fill="auto"/>
                  <w:vAlign w:val="center"/>
                </w:tcPr>
                <w:p>
                  <w:pPr>
                    <w:rPr>
                      <w:rFonts w:hint="eastAsia" w:ascii="Times New Roman" w:hAnsi="Times New Roman" w:eastAsia="宋体" w:cs="Times New Roman"/>
                      <w:szCs w:val="22"/>
                      <w:lang w:val="en-US" w:eastAsia="zh-CN"/>
                    </w:rPr>
                  </w:pPr>
                </w:p>
              </w:tc>
              <w:tc>
                <w:tcPr>
                  <w:tcW w:w="1073" w:type="dxa"/>
                  <w:shd w:val="clear" w:color="auto" w:fill="auto"/>
                  <w:vAlign w:val="center"/>
                </w:tcPr>
                <w:p>
                  <w:pPr>
                    <w:rPr>
                      <w:rFonts w:hint="default" w:ascii="宋体" w:hAnsi="宋体" w:eastAsia="宋体"/>
                      <w:szCs w:val="24"/>
                      <w:lang w:val="en-US" w:eastAsia="zh-CN"/>
                    </w:rPr>
                  </w:pPr>
                  <w:r>
                    <w:rPr>
                      <w:rFonts w:hint="eastAsia" w:ascii="宋体" w:hAnsi="宋体"/>
                      <w:szCs w:val="24"/>
                      <w:lang w:val="en-US" w:eastAsia="zh-CN"/>
                    </w:rPr>
                    <w:t>全条款</w:t>
                  </w:r>
                </w:p>
              </w:tc>
              <w:tc>
                <w:tcPr>
                  <w:tcW w:w="1466" w:type="dxa"/>
                  <w:shd w:val="clear" w:color="auto" w:fill="auto"/>
                  <w:vAlign w:val="center"/>
                </w:tcPr>
                <w:p>
                  <w:pPr>
                    <w:rPr>
                      <w:rFonts w:ascii="宋体" w:hAnsi="宋体"/>
                      <w:szCs w:val="24"/>
                    </w:rPr>
                  </w:pPr>
                  <w:r>
                    <w:rPr>
                      <w:rFonts w:hint="eastAsia"/>
                      <w:szCs w:val="24"/>
                      <w:lang w:val="en-US" w:eastAsia="zh-CN"/>
                    </w:rPr>
                    <w:t>按标准执行</w:t>
                  </w:r>
                </w:p>
              </w:tc>
              <w:tc>
                <w:tcPr>
                  <w:tcW w:w="1453" w:type="dxa"/>
                  <w:shd w:val="clear" w:color="auto" w:fill="auto"/>
                  <w:vAlign w:val="center"/>
                </w:tcPr>
                <w:p>
                  <w:pPr>
                    <w:rPr>
                      <w:rFonts w:hint="eastAsia" w:ascii="Times New Roman" w:hAnsi="Times New Roman" w:eastAsia="宋体" w:cs="Times New Roman"/>
                      <w:szCs w:val="22"/>
                      <w:lang w:val="en-US" w:eastAsia="zh-CN"/>
                    </w:rPr>
                  </w:pPr>
                </w:p>
              </w:tc>
            </w:tr>
          </w:tbl>
          <w:p>
            <w:pPr>
              <w:rPr>
                <w:rFonts w:hint="default"/>
                <w:lang w:val="en-US"/>
              </w:rPr>
            </w:pPr>
            <w:r>
              <w:rPr>
                <w:rFonts w:hint="eastAsia"/>
              </w:rPr>
              <w:t xml:space="preserve"> </w:t>
            </w:r>
          </w:p>
          <w:p>
            <w:pPr>
              <w:rPr>
                <w:color w:val="000000"/>
              </w:rPr>
            </w:pPr>
            <w:r>
              <w:rPr>
                <w:rFonts w:hint="eastAsia"/>
                <w:color w:val="000000"/>
                <w:szCs w:val="18"/>
              </w:rPr>
              <w:t>企业的合规性评价是不是按照文件要求执行，结论描述是否准确。</w:t>
            </w:r>
          </w:p>
          <w:p>
            <w:pPr>
              <w:rPr>
                <w:color w:val="000000"/>
                <w:szCs w:val="18"/>
              </w:rPr>
            </w:pPr>
            <w:r>
              <w:rPr/>
              <w:sym w:font="Wingdings" w:char="00FE"/>
            </w:r>
            <w:r>
              <w:rPr>
                <w:rFonts w:hint="eastAsia"/>
                <w:color w:val="000000"/>
                <w:szCs w:val="18"/>
              </w:rPr>
              <w:t>自管理体系建立后/</w:t>
            </w:r>
            <w:r>
              <w:rPr/>
              <w:sym w:font="Wingdings" w:char="00A8"/>
            </w:r>
            <w:r>
              <w:rPr>
                <w:rFonts w:hint="eastAsia"/>
              </w:rPr>
              <w:t>近一年</w:t>
            </w:r>
            <w:r>
              <w:rPr>
                <w:rFonts w:hint="eastAsia"/>
                <w:color w:val="000000"/>
                <w:szCs w:val="18"/>
              </w:rPr>
              <w:t>，合规义务如下：</w:t>
            </w:r>
          </w:p>
          <w:p>
            <w:pPr>
              <w:rPr>
                <w:color w:val="000000"/>
                <w:szCs w:val="18"/>
              </w:rPr>
            </w:pPr>
          </w:p>
          <w:tbl>
            <w:tblPr>
              <w:tblStyle w:val="1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597"/>
              <w:gridCol w:w="2378"/>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合规义务</w:t>
                  </w:r>
                </w:p>
              </w:tc>
              <w:tc>
                <w:tcPr>
                  <w:tcW w:w="1597" w:type="dxa"/>
                </w:tcPr>
                <w:p>
                  <w:r>
                    <w:rPr>
                      <w:rFonts w:hint="eastAsia"/>
                    </w:rPr>
                    <w:t>评价日期</w:t>
                  </w:r>
                </w:p>
              </w:tc>
              <w:tc>
                <w:tcPr>
                  <w:tcW w:w="2378" w:type="dxa"/>
                </w:tcPr>
                <w:p>
                  <w:r>
                    <w:rPr>
                      <w:rFonts w:hint="eastAsia"/>
                    </w:rPr>
                    <w:t>评价概述或结果</w:t>
                  </w:r>
                </w:p>
              </w:tc>
              <w:tc>
                <w:tcPr>
                  <w:tcW w:w="3151" w:type="dxa"/>
                </w:tcPr>
                <w:p>
                  <w:r>
                    <w:rPr>
                      <w:rFonts w:hint="eastAsia"/>
                    </w:rPr>
                    <w:t>改进措施描述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hint="default" w:ascii="Times New Roman" w:hAnsi="Times New Roman" w:eastAsia="宋体" w:cs="Times New Roman"/>
                      <w:color w:val="000000"/>
                      <w:szCs w:val="18"/>
                      <w:lang w:val="en-US" w:eastAsia="zh-CN"/>
                    </w:rPr>
                  </w:pPr>
                  <w:r>
                    <w:rPr>
                      <w:rFonts w:hint="eastAsia" w:ascii="Times New Roman" w:hAnsi="Times New Roman" w:eastAsia="宋体" w:cs="Times New Roman"/>
                      <w:color w:val="000000"/>
                      <w:szCs w:val="18"/>
                      <w:lang w:val="en-US" w:eastAsia="zh-CN"/>
                    </w:rPr>
                    <w:t>法律法规合规性评价</w:t>
                  </w:r>
                </w:p>
              </w:tc>
              <w:tc>
                <w:tcPr>
                  <w:tcW w:w="1597" w:type="dxa"/>
                </w:tcPr>
                <w:p>
                  <w:pPr>
                    <w:rPr>
                      <w:rFonts w:hint="default" w:ascii="Times New Roman" w:hAnsi="Times New Roman" w:eastAsia="宋体" w:cs="Times New Roman"/>
                      <w:color w:val="000000"/>
                      <w:szCs w:val="18"/>
                      <w:lang w:val="en-US" w:eastAsia="zh-CN"/>
                    </w:rPr>
                  </w:pPr>
                  <w:r>
                    <w:rPr>
                      <w:rFonts w:hint="eastAsia" w:ascii="Times New Roman" w:hAnsi="Times New Roman" w:eastAsia="宋体" w:cs="Times New Roman"/>
                      <w:color w:val="000000"/>
                      <w:szCs w:val="18"/>
                      <w:lang w:val="en-US" w:eastAsia="zh-CN"/>
                    </w:rPr>
                    <w:t>2022年6月8日</w:t>
                  </w:r>
                </w:p>
              </w:tc>
              <w:tc>
                <w:tcPr>
                  <w:tcW w:w="2378" w:type="dxa"/>
                </w:tcPr>
                <w:p>
                  <w:pPr>
                    <w:rPr>
                      <w:rFonts w:hint="default" w:ascii="Times New Roman" w:hAnsi="Times New Roman" w:eastAsia="宋体" w:cs="Times New Roman"/>
                      <w:color w:val="000000"/>
                      <w:szCs w:val="18"/>
                      <w:lang w:val="en-US" w:eastAsia="zh-CN"/>
                    </w:rPr>
                  </w:pPr>
                  <w:r>
                    <w:rPr>
                      <w:rFonts w:hint="eastAsia" w:ascii="Times New Roman" w:hAnsi="Times New Roman" w:eastAsia="宋体" w:cs="Times New Roman"/>
                      <w:color w:val="000000"/>
                      <w:szCs w:val="18"/>
                      <w:lang w:val="en-US" w:eastAsia="zh-CN"/>
                    </w:rPr>
                    <w:t>基本满足要求。</w:t>
                  </w:r>
                </w:p>
              </w:tc>
              <w:tc>
                <w:tcPr>
                  <w:tcW w:w="3151" w:type="dxa"/>
                </w:tcPr>
                <w:p>
                  <w:pPr>
                    <w:rPr>
                      <w:rFonts w:hint="eastAsia" w:ascii="Times New Roman" w:hAnsi="Times New Roman" w:eastAsia="宋体" w:cs="Times New Roman"/>
                      <w:color w:val="000000"/>
                      <w:szCs w:val="18"/>
                      <w:lang w:val="en-US" w:eastAsia="zh-CN"/>
                    </w:rPr>
                  </w:pPr>
                  <w:r>
                    <w:rPr>
                      <w:rFonts w:hint="eastAsia" w:ascii="Times New Roman" w:hAnsi="Times New Roman" w:eastAsia="宋体" w:cs="Times New Roman"/>
                      <w:color w:val="000000"/>
                      <w:szCs w:val="18"/>
                      <w:lang w:val="en-US" w:eastAsia="zh-CN"/>
                    </w:rPr>
                    <w:t>对相关法律法规和其他要求，具体内容了解不够，需要强化学习和贯彻执行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tc>
              <w:tc>
                <w:tcPr>
                  <w:tcW w:w="1597" w:type="dxa"/>
                </w:tcPr>
                <w:p/>
              </w:tc>
              <w:tc>
                <w:tcPr>
                  <w:tcW w:w="2378" w:type="dxa"/>
                </w:tcPr>
                <w:p/>
              </w:tc>
              <w:tc>
                <w:tcPr>
                  <w:tcW w:w="3151" w:type="dxa"/>
                </w:tcPr>
                <w:p/>
              </w:tc>
            </w:tr>
          </w:tbl>
          <w:p>
            <w:pPr>
              <w:rPr>
                <w:rFonts w:hint="eastAsia" w:ascii="Times New Roman" w:hAnsi="Times New Roman" w:eastAsia="宋体" w:cs="Times New Roman"/>
                <w:kern w:val="2"/>
                <w:sz w:val="21"/>
                <w:lang w:val="en-US" w:eastAsia="zh-CN" w:bidi="ar-SA"/>
              </w:rPr>
            </w:pPr>
          </w:p>
        </w:tc>
        <w:tc>
          <w:tcPr>
            <w:tcW w:w="1293"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26" w:type="dxa"/>
            <w:vAlign w:val="top"/>
          </w:tcPr>
          <w:p>
            <w:pPr>
              <w:rPr>
                <w:rFonts w:hint="eastAsia" w:ascii="Times New Roman" w:hAnsi="Times New Roman" w:eastAsia="宋体" w:cs="Times New Roman"/>
                <w:kern w:val="2"/>
                <w:sz w:val="21"/>
                <w:lang w:val="en-US" w:eastAsia="zh-CN" w:bidi="ar-SA"/>
              </w:rPr>
            </w:pPr>
            <w:r>
              <w:rPr>
                <w:rFonts w:hint="eastAsia"/>
              </w:rPr>
              <w:t>不符合与纠正措施</w:t>
            </w:r>
          </w:p>
        </w:tc>
        <w:tc>
          <w:tcPr>
            <w:tcW w:w="1216" w:type="dxa"/>
            <w:vAlign w:val="top"/>
          </w:tcPr>
          <w:p>
            <w:pPr>
              <w:rPr>
                <w:rFonts w:hint="eastAsia" w:ascii="Times New Roman" w:hAnsi="Times New Roman" w:eastAsia="宋体" w:cs="Times New Roman"/>
                <w:kern w:val="2"/>
                <w:sz w:val="21"/>
                <w:lang w:val="en-US" w:eastAsia="zh-CN" w:bidi="ar-SA"/>
              </w:rPr>
            </w:pPr>
            <w:r>
              <w:rPr>
                <w:rFonts w:hint="eastAsia"/>
              </w:rPr>
              <w:t>E</w:t>
            </w:r>
            <w:r>
              <w:rPr>
                <w:rFonts w:hint="eastAsia"/>
                <w:lang w:val="en-US" w:eastAsia="zh-CN"/>
              </w:rPr>
              <w:t>n10.1</w:t>
            </w:r>
          </w:p>
        </w:tc>
        <w:tc>
          <w:tcPr>
            <w:tcW w:w="716" w:type="dxa"/>
            <w:vAlign w:val="top"/>
          </w:tcPr>
          <w:p>
            <w:pPr>
              <w:rPr>
                <w:rFonts w:hint="eastAsia"/>
                <w:lang w:val="en-US" w:eastAsia="zh-CN"/>
              </w:rPr>
            </w:pPr>
            <w:r>
              <w:rPr>
                <w:rFonts w:hint="eastAsia"/>
              </w:rPr>
              <w:t>文件名称</w:t>
            </w:r>
          </w:p>
        </w:tc>
        <w:tc>
          <w:tcPr>
            <w:tcW w:w="9766" w:type="dxa"/>
            <w:vAlign w:val="top"/>
          </w:tcPr>
          <w:p>
            <w:pPr>
              <w:rPr>
                <w:rFonts w:hint="eastAsia" w:ascii="Times New Roman" w:hAnsi="Times New Roman" w:eastAsia="宋体" w:cs="Times New Roman"/>
                <w:kern w:val="2"/>
                <w:sz w:val="21"/>
                <w:lang w:val="en-US" w:eastAsia="zh-CN" w:bidi="ar-SA"/>
              </w:rPr>
            </w:pPr>
            <w:r>
              <w:rPr>
                <w:rFonts w:hint="eastAsia"/>
              </w:rPr>
              <w:t>如：</w:t>
            </w:r>
            <w:r>
              <w:rPr>
                <w:color w:val="auto"/>
                <w:highlight w:val="none"/>
              </w:rPr>
              <w:sym w:font="Wingdings" w:char="00FE"/>
            </w:r>
            <w:r>
              <w:rPr>
                <w:rFonts w:hint="eastAsia"/>
                <w:highlight w:val="none"/>
              </w:rPr>
              <w:t>《</w:t>
            </w:r>
            <w:r>
              <w:rPr>
                <w:rFonts w:hint="eastAsia" w:ascii="Times New Roman" w:hAnsi="Times New Roman" w:eastAsia="宋体" w:cs="Times New Roman"/>
                <w:szCs w:val="22"/>
                <w:highlight w:val="none"/>
                <w:lang w:val="en-US" w:eastAsia="zh-CN"/>
              </w:rPr>
              <w:t>不符合、纠正、改进措施程序</w:t>
            </w:r>
            <w:r>
              <w:rPr>
                <w:rFonts w:hint="eastAsia"/>
                <w:highlight w:val="none"/>
              </w:rPr>
              <w:t>》</w:t>
            </w:r>
          </w:p>
        </w:tc>
        <w:tc>
          <w:tcPr>
            <w:tcW w:w="1293"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226" w:type="dxa"/>
            <w:vAlign w:val="top"/>
          </w:tcPr>
          <w:p>
            <w:pPr>
              <w:rPr>
                <w:rFonts w:hint="eastAsia" w:ascii="Times New Roman" w:hAnsi="Times New Roman" w:eastAsia="宋体" w:cs="Times New Roman"/>
                <w:kern w:val="2"/>
                <w:sz w:val="21"/>
                <w:lang w:val="en-US" w:eastAsia="zh-CN" w:bidi="ar-SA"/>
              </w:rPr>
            </w:pPr>
          </w:p>
        </w:tc>
        <w:tc>
          <w:tcPr>
            <w:tcW w:w="1216" w:type="dxa"/>
            <w:vAlign w:val="top"/>
          </w:tcPr>
          <w:p>
            <w:pPr>
              <w:rPr>
                <w:rFonts w:hint="eastAsia" w:ascii="Times New Roman" w:hAnsi="Times New Roman" w:eastAsia="宋体" w:cs="Times New Roman"/>
                <w:kern w:val="2"/>
                <w:sz w:val="21"/>
                <w:lang w:val="en-US" w:eastAsia="zh-CN" w:bidi="ar-SA"/>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vAlign w:val="top"/>
          </w:tcPr>
          <w:p>
            <w:pPr>
              <w:rPr>
                <w:rFonts w:hint="eastAsia"/>
              </w:rPr>
            </w:pPr>
            <w:r>
              <w:rPr>
                <w:rFonts w:hint="eastAsia"/>
              </w:rPr>
              <w:t>不符合的来源：</w:t>
            </w:r>
          </w:p>
          <w:p>
            <w:pPr>
              <w:pStyle w:val="2"/>
            </w:pPr>
          </w:p>
          <w:p>
            <w:pPr>
              <w:rPr>
                <w:rFonts w:hint="default"/>
                <w:lang w:val="en-US" w:eastAsia="zh-CN"/>
              </w:rPr>
            </w:pPr>
            <w:r>
              <w:rPr/>
              <w:sym w:font="Wingdings" w:char="00A8"/>
            </w:r>
            <w:r>
              <w:rPr>
                <w:rFonts w:hint="eastAsia"/>
              </w:rPr>
              <w:t xml:space="preserve">顾客投诉   </w:t>
            </w:r>
            <w:r>
              <w:rPr>
                <w:rFonts w:hint="eastAsia"/>
              </w:rPr>
              <w:sym w:font="Wingdings" w:char="00FE"/>
            </w:r>
            <w:r>
              <w:rPr>
                <w:rFonts w:hint="eastAsia"/>
              </w:rPr>
              <w:t xml:space="preserve">能源消耗问题  </w:t>
            </w:r>
            <w:r>
              <w:rPr>
                <w:rFonts w:hint="eastAsia"/>
              </w:rPr>
              <w:sym w:font="Wingdings" w:char="00A8"/>
            </w:r>
            <w:r>
              <w:rPr>
                <w:rFonts w:hint="eastAsia"/>
              </w:rPr>
              <w:t xml:space="preserve">工作运行中的问题  </w:t>
            </w:r>
            <w:r>
              <w:rPr>
                <w:rFonts w:hint="eastAsia"/>
              </w:rPr>
              <w:sym w:font="Wingdings" w:char="00FE"/>
            </w:r>
            <w:r>
              <w:rPr>
                <w:rFonts w:hint="eastAsia"/>
              </w:rPr>
              <w:t>其他</w:t>
            </w:r>
            <w:r>
              <w:rPr>
                <w:rFonts w:hint="eastAsia"/>
                <w:lang w:eastAsia="zh-CN"/>
              </w:rPr>
              <w:t>——</w:t>
            </w:r>
            <w:r>
              <w:rPr>
                <w:rFonts w:hint="eastAsia"/>
                <w:lang w:val="en-US" w:eastAsia="zh-CN"/>
              </w:rPr>
              <w:t>内审，节能减排股未发生不符合。</w:t>
            </w:r>
          </w:p>
          <w:p>
            <w:r>
              <w:rPr>
                <w:rFonts w:hint="eastAsia"/>
              </w:rPr>
              <w:t>查采取纠正措施相关记录名称：《</w:t>
            </w:r>
            <w:r>
              <w:rPr>
                <w:rFonts w:hint="eastAsia"/>
                <w:lang w:val="en-US" w:eastAsia="zh-CN"/>
              </w:rPr>
              <w:t>不符合报告</w:t>
            </w:r>
            <w:r>
              <w:rPr>
                <w:rFonts w:hint="eastAsia"/>
              </w:rPr>
              <w:t xml:space="preserve"> 》</w:t>
            </w:r>
          </w:p>
          <w:p>
            <w:pPr>
              <w:pStyle w:val="16"/>
              <w:ind w:left="0" w:leftChars="0" w:firstLine="0" w:firstLineChars="0"/>
              <w:rPr>
                <w:rFonts w:hint="eastAsia" w:ascii="Times New Roman" w:hAnsi="Times New Roman" w:eastAsia="宋体" w:cs="Times New Roman"/>
                <w:kern w:val="2"/>
                <w:sz w:val="24"/>
                <w:lang w:val="en-US" w:eastAsia="zh-CN" w:bidi="ar-SA"/>
              </w:rPr>
            </w:pPr>
          </w:p>
          <w:p>
            <w:pPr>
              <w:pStyle w:val="16"/>
              <w:ind w:left="0" w:leftChars="0" w:firstLine="0" w:firstLineChars="0"/>
              <w:rPr>
                <w:rFonts w:hint="eastAsia" w:ascii="Times New Roman" w:hAnsi="Times New Roman" w:eastAsia="宋体" w:cs="Times New Roman"/>
                <w:kern w:val="2"/>
                <w:sz w:val="24"/>
                <w:lang w:val="en-US" w:eastAsia="zh-CN" w:bidi="ar-SA"/>
              </w:rPr>
            </w:pPr>
          </w:p>
        </w:tc>
        <w:tc>
          <w:tcPr>
            <w:tcW w:w="1293" w:type="dxa"/>
            <w:vMerge w:val="continue"/>
            <w:vAlign w:val="top"/>
          </w:tcPr>
          <w:p>
            <w:pPr>
              <w:rPr>
                <w:rFonts w:ascii="Times New Roman" w:hAnsi="Times New Roman" w:eastAsia="宋体" w:cs="Times New Roman"/>
                <w:kern w:val="2"/>
                <w:sz w:val="21"/>
                <w:lang w:val="en-US" w:eastAsia="zh-CN" w:bidi="ar-SA"/>
              </w:rPr>
            </w:pPr>
          </w:p>
        </w:tc>
      </w:tr>
    </w:tbl>
    <w:p>
      <w:pPr>
        <w:pStyle w:val="11"/>
        <w:rPr>
          <w:rFonts w:hint="eastAsia"/>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8"/>
        <w:tblW w:w="14217" w:type="dxa"/>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216"/>
        <w:gridCol w:w="716"/>
        <w:gridCol w:w="9766"/>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26"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216"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2" w:type="dxa"/>
            <w:gridSpan w:val="2"/>
            <w:vAlign w:val="center"/>
          </w:tcPr>
          <w:p>
            <w:pPr>
              <w:rPr>
                <w:rFonts w:hint="default" w:eastAsia="宋体"/>
                <w:sz w:val="24"/>
                <w:szCs w:val="24"/>
                <w:lang w:val="en-US" w:eastAsia="zh-CN"/>
              </w:rPr>
            </w:pPr>
            <w:r>
              <w:rPr>
                <w:rFonts w:hint="eastAsia"/>
                <w:sz w:val="24"/>
                <w:szCs w:val="24"/>
              </w:rPr>
              <w:t>受审核部门：</w:t>
            </w:r>
            <w:r>
              <w:rPr>
                <w:rFonts w:hint="eastAsia" w:ascii="Times New Roman" w:hAnsi="Times New Roman" w:eastAsia="宋体" w:cs="Times New Roman"/>
                <w:sz w:val="24"/>
                <w:szCs w:val="24"/>
                <w:lang w:val="en-US" w:eastAsia="zh-CN"/>
              </w:rPr>
              <w:t xml:space="preserve">公务用房和车辆管理股  </w:t>
            </w:r>
            <w:r>
              <w:rPr>
                <w:sz w:val="24"/>
                <w:szCs w:val="24"/>
              </w:rPr>
              <w:t xml:space="preserve">  </w:t>
            </w:r>
            <w:r>
              <w:rPr>
                <w:rFonts w:hint="eastAsia"/>
                <w:sz w:val="24"/>
                <w:szCs w:val="24"/>
              </w:rPr>
              <w:t>负责人：</w:t>
            </w:r>
            <w:r>
              <w:rPr>
                <w:rFonts w:hint="eastAsia"/>
                <w:sz w:val="24"/>
                <w:szCs w:val="24"/>
                <w:highlight w:val="none"/>
                <w:lang w:val="en-US" w:eastAsia="zh-CN"/>
              </w:rPr>
              <w:t>石小杰</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highlight w:val="none"/>
                <w:lang w:val="en-US" w:eastAsia="zh-CN"/>
              </w:rPr>
              <w:t>陈小勤</w:t>
            </w:r>
          </w:p>
        </w:tc>
        <w:tc>
          <w:tcPr>
            <w:tcW w:w="129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26" w:type="dxa"/>
            <w:vMerge w:val="continue"/>
            <w:vAlign w:val="center"/>
          </w:tcPr>
          <w:p/>
        </w:tc>
        <w:tc>
          <w:tcPr>
            <w:tcW w:w="1216" w:type="dxa"/>
            <w:vMerge w:val="continue"/>
            <w:vAlign w:val="center"/>
          </w:tcPr>
          <w:p/>
        </w:tc>
        <w:tc>
          <w:tcPr>
            <w:tcW w:w="10482" w:type="dxa"/>
            <w:gridSpan w:val="2"/>
            <w:vAlign w:val="center"/>
          </w:tcPr>
          <w:p>
            <w:pPr>
              <w:tabs>
                <w:tab w:val="center" w:pos="4894"/>
              </w:tabs>
              <w:spacing w:before="120"/>
              <w:rPr>
                <w:rFonts w:hint="default"/>
                <w:sz w:val="24"/>
                <w:lang w:val="en-US"/>
              </w:rPr>
            </w:pPr>
            <w:r>
              <w:rPr>
                <w:rFonts w:hint="eastAsia"/>
                <w:sz w:val="24"/>
                <w:szCs w:val="24"/>
              </w:rPr>
              <w:t>审核员：</w:t>
            </w:r>
            <w:r>
              <w:rPr>
                <w:rFonts w:hint="eastAsia"/>
                <w:sz w:val="21"/>
                <w:szCs w:val="21"/>
                <w:lang w:val="en-US" w:eastAsia="zh-CN"/>
              </w:rPr>
              <w:t>李</w:t>
            </w:r>
            <w:r>
              <w:rPr>
                <w:rFonts w:hint="eastAsia" w:ascii="Times New Roman" w:hAnsi="Times New Roman" w:eastAsia="宋体" w:cs="Times New Roman"/>
                <w:sz w:val="24"/>
                <w:szCs w:val="24"/>
                <w:lang w:val="en-US" w:eastAsia="zh-CN"/>
              </w:rPr>
              <w:t>丽英</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（远程采用、微信、腾讯会议、电话等工具）</w:t>
            </w:r>
            <w:r>
              <w:rPr>
                <w:rFonts w:hint="eastAsia" w:ascii="Times New Roman" w:hAnsi="Times New Roman" w:eastAsia="宋体" w:cs="Times New Roman"/>
                <w:sz w:val="21"/>
                <w:szCs w:val="21"/>
                <w:lang w:val="en-US" w:eastAsia="zh-CN"/>
              </w:rPr>
              <w:t xml:space="preserve"> </w:t>
            </w:r>
            <w:r>
              <w:rPr>
                <w:rFonts w:hint="eastAsia" w:cs="Times New Roman"/>
                <w:sz w:val="24"/>
                <w:szCs w:val="24"/>
                <w:lang w:val="en-US" w:eastAsia="zh-CN"/>
              </w:rPr>
              <w:t xml:space="preserve">  </w:t>
            </w:r>
            <w:r>
              <w:rPr>
                <w:rFonts w:hint="eastAsia"/>
                <w:sz w:val="24"/>
                <w:szCs w:val="24"/>
              </w:rPr>
              <w:t>审核日期：2</w:t>
            </w:r>
            <w:r>
              <w:rPr>
                <w:sz w:val="24"/>
                <w:szCs w:val="24"/>
              </w:rPr>
              <w:t>02</w:t>
            </w:r>
            <w:r>
              <w:rPr>
                <w:rFonts w:hint="eastAsia"/>
                <w:sz w:val="24"/>
                <w:szCs w:val="24"/>
                <w:lang w:val="en-US" w:eastAsia="zh-CN"/>
              </w:rPr>
              <w:t>3</w:t>
            </w:r>
            <w:r>
              <w:rPr>
                <w:rFonts w:hint="eastAsia"/>
                <w:sz w:val="24"/>
                <w:szCs w:val="24"/>
              </w:rPr>
              <w:t>-</w:t>
            </w:r>
            <w:r>
              <w:rPr>
                <w:rFonts w:hint="eastAsia"/>
                <w:sz w:val="24"/>
                <w:szCs w:val="24"/>
                <w:lang w:val="en-US" w:eastAsia="zh-CN"/>
              </w:rPr>
              <w:t>01-18上午</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26" w:type="dxa"/>
            <w:vMerge w:val="continue"/>
            <w:vAlign w:val="center"/>
          </w:tcPr>
          <w:p/>
        </w:tc>
        <w:tc>
          <w:tcPr>
            <w:tcW w:w="1216" w:type="dxa"/>
            <w:vMerge w:val="continue"/>
            <w:vAlign w:val="center"/>
          </w:tcPr>
          <w:p/>
        </w:tc>
        <w:tc>
          <w:tcPr>
            <w:tcW w:w="10482" w:type="dxa"/>
            <w:gridSpan w:val="2"/>
            <w:vAlign w:val="center"/>
          </w:tcPr>
          <w:p>
            <w:pPr>
              <w:spacing w:line="300" w:lineRule="exact"/>
              <w:rPr>
                <w:rFonts w:hint="default" w:asciiTheme="minorEastAsia" w:hAnsiTheme="minorEastAsia" w:eastAsiaTheme="minorEastAsia"/>
                <w:sz w:val="21"/>
                <w:szCs w:val="21"/>
                <w:lang w:val="en-US" w:eastAsia="zh-CN"/>
              </w:rPr>
            </w:pPr>
            <w:r>
              <w:rPr>
                <w:rFonts w:hint="eastAsia" w:ascii="宋体" w:hAnsi="宋体" w:eastAsia="宋体" w:cs="宋体"/>
                <w:sz w:val="24"/>
                <w:szCs w:val="24"/>
              </w:rPr>
              <w:t>审核条款：</w:t>
            </w:r>
            <w:r>
              <w:rPr>
                <w:rFonts w:hint="eastAsia" w:cs="Arial"/>
                <w:sz w:val="21"/>
                <w:szCs w:val="21"/>
              </w:rPr>
              <w:t>E</w:t>
            </w:r>
            <w:r>
              <w:rPr>
                <w:rFonts w:hint="eastAsia" w:cs="Arial"/>
                <w:sz w:val="21"/>
                <w:szCs w:val="21"/>
                <w:lang w:val="en-US" w:eastAsia="zh-CN"/>
              </w:rPr>
              <w:t>n</w:t>
            </w:r>
            <w:r>
              <w:rPr>
                <w:rFonts w:hint="eastAsia" w:cs="Arial"/>
                <w:sz w:val="21"/>
                <w:szCs w:val="21"/>
              </w:rPr>
              <w:t>MS:</w:t>
            </w:r>
            <w:r>
              <w:rPr>
                <w:rFonts w:hint="eastAsia"/>
                <w:sz w:val="21"/>
                <w:szCs w:val="21"/>
              </w:rPr>
              <w:t>5.3</w:t>
            </w:r>
            <w:r>
              <w:rPr>
                <w:rFonts w:hint="eastAsia"/>
                <w:sz w:val="21"/>
                <w:szCs w:val="21"/>
                <w:lang w:val="en-US" w:eastAsia="zh-CN"/>
              </w:rPr>
              <w:t>/</w:t>
            </w:r>
            <w:r>
              <w:rPr>
                <w:rFonts w:hint="eastAsia"/>
                <w:sz w:val="21"/>
                <w:szCs w:val="21"/>
              </w:rPr>
              <w:t>6.2</w:t>
            </w:r>
            <w:r>
              <w:rPr>
                <w:rFonts w:hint="eastAsia"/>
                <w:sz w:val="21"/>
                <w:szCs w:val="21"/>
                <w:lang w:val="en-US" w:eastAsia="zh-CN"/>
              </w:rPr>
              <w:t>/</w:t>
            </w:r>
            <w:r>
              <w:rPr>
                <w:rFonts w:hint="eastAsia"/>
                <w:sz w:val="21"/>
                <w:szCs w:val="21"/>
                <w:highlight w:val="none"/>
                <w:lang w:val="en-US" w:eastAsia="zh-CN"/>
              </w:rPr>
              <w:t>6.6</w:t>
            </w:r>
            <w:r>
              <w:rPr>
                <w:rFonts w:hint="eastAsia"/>
                <w:sz w:val="21"/>
                <w:szCs w:val="21"/>
                <w:lang w:val="en-US" w:eastAsia="zh-CN"/>
              </w:rPr>
              <w:t>/</w:t>
            </w:r>
            <w:r>
              <w:rPr>
                <w:rFonts w:hint="eastAsia"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w:t>
            </w:r>
            <w:r>
              <w:rPr>
                <w:rFonts w:hint="eastAsia"/>
                <w:sz w:val="21"/>
                <w:szCs w:val="21"/>
                <w:lang w:val="en-US" w:eastAsia="zh-CN"/>
              </w:rPr>
              <w:t>10.1</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26" w:type="dxa"/>
            <w:vMerge w:val="restart"/>
            <w:shd w:val="clear" w:color="auto" w:fill="auto"/>
          </w:tcPr>
          <w:p>
            <w:r>
              <w:rPr>
                <w:rFonts w:hint="eastAsia"/>
                <w:color w:val="000000"/>
                <w:szCs w:val="21"/>
              </w:rPr>
              <w:t>部门职责</w:t>
            </w:r>
          </w:p>
        </w:tc>
        <w:tc>
          <w:tcPr>
            <w:tcW w:w="1216" w:type="dxa"/>
            <w:vMerge w:val="restart"/>
            <w:shd w:val="clear" w:color="auto" w:fill="auto"/>
          </w:tcPr>
          <w:p>
            <w:pPr>
              <w:rPr>
                <w:color w:val="000000"/>
                <w:szCs w:val="21"/>
              </w:rPr>
            </w:pPr>
            <w:r>
              <w:rPr>
                <w:rFonts w:hint="eastAsia"/>
                <w:color w:val="000000"/>
                <w:szCs w:val="21"/>
                <w:lang w:val="en-US" w:eastAsia="zh-CN"/>
              </w:rPr>
              <w:t>En</w:t>
            </w:r>
            <w:r>
              <w:rPr>
                <w:rFonts w:hint="eastAsia"/>
                <w:color w:val="000000"/>
                <w:szCs w:val="21"/>
              </w:rPr>
              <w:t>5.3</w:t>
            </w:r>
          </w:p>
          <w:p/>
        </w:tc>
        <w:tc>
          <w:tcPr>
            <w:tcW w:w="716" w:type="dxa"/>
            <w:shd w:val="clear" w:color="auto" w:fill="auto"/>
          </w:tcPr>
          <w:p>
            <w:r>
              <w:rPr>
                <w:rFonts w:hint="eastAsia"/>
              </w:rPr>
              <w:t>文件名称</w:t>
            </w:r>
          </w:p>
        </w:tc>
        <w:tc>
          <w:tcPr>
            <w:tcW w:w="9766" w:type="dxa"/>
            <w:shd w:val="clear" w:color="auto" w:fill="auto"/>
          </w:tcPr>
          <w:p>
            <w:r>
              <w:rPr/>
              <w:sym w:font="Wingdings" w:char="00FE"/>
            </w:r>
            <w:r>
              <w:rPr>
                <w:rFonts w:hint="eastAsia"/>
              </w:rPr>
              <w:t>《管理手册》第5.3条款</w:t>
            </w:r>
          </w:p>
        </w:tc>
        <w:tc>
          <w:tcPr>
            <w:tcW w:w="1293" w:type="dxa"/>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226" w:type="dxa"/>
            <w:vMerge w:val="continue"/>
            <w:shd w:val="clear" w:color="auto" w:fill="auto"/>
          </w:tcPr>
          <w:p/>
        </w:tc>
        <w:tc>
          <w:tcPr>
            <w:tcW w:w="1216" w:type="dxa"/>
            <w:vMerge w:val="continue"/>
            <w:shd w:val="clear" w:color="auto" w:fill="auto"/>
          </w:tcPr>
          <w:p/>
        </w:tc>
        <w:tc>
          <w:tcPr>
            <w:tcW w:w="716" w:type="dxa"/>
            <w:shd w:val="clear" w:color="auto" w:fill="auto"/>
          </w:tcPr>
          <w:p>
            <w:r>
              <w:rPr>
                <w:rFonts w:hint="eastAsia"/>
              </w:rPr>
              <w:t>运行证据</w:t>
            </w:r>
          </w:p>
        </w:tc>
        <w:tc>
          <w:tcPr>
            <w:tcW w:w="9766" w:type="dxa"/>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与公务用房和车辆管理股负责人石小杰沟通：本部门共有1人</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工作职责：</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职责：负责制定机关办公用房集中管理制度，承担区级机关房产、办公用房建设、维修改造等工作;负责镇(街道)、区级部门办公用房的统筹调配工作;负责区级领导周转房服务管理工作:负责全区机关事业单位公务用车(应急保障用车事业单位业务用车)编制、配备、更新和处置工作;完成颇导交办的其他工作。</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有部门职责，内容基本符合要求。</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drawing>
                <wp:inline distT="0" distB="0" distL="114300" distR="114300">
                  <wp:extent cx="1784985" cy="2068830"/>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784985" cy="20688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82750" cy="208851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1682750" cy="2088515"/>
                          </a:xfrm>
                          <a:prstGeom prst="rect">
                            <a:avLst/>
                          </a:prstGeom>
                          <a:noFill/>
                          <a:ln>
                            <a:noFill/>
                          </a:ln>
                        </pic:spPr>
                      </pic:pic>
                    </a:graphicData>
                  </a:graphic>
                </wp:inline>
              </w:drawing>
            </w:r>
            <w:r>
              <w:rPr>
                <w:rFonts w:hint="eastAsia"/>
                <w:lang w:val="en-US" w:eastAsia="zh-CN"/>
              </w:rPr>
              <w:t xml:space="preserve"> </w:t>
            </w:r>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trPr>
        <w:tc>
          <w:tcPr>
            <w:tcW w:w="1226" w:type="dxa"/>
            <w:vMerge w:val="restart"/>
            <w:shd w:val="clear" w:color="auto" w:fill="auto"/>
          </w:tcPr>
          <w:p>
            <w:pPr>
              <w:rPr>
                <w:color w:val="000000"/>
                <w:szCs w:val="21"/>
                <w:highlight w:val="none"/>
              </w:rPr>
            </w:pPr>
            <w:r>
              <w:rPr>
                <w:rFonts w:hint="eastAsia"/>
                <w:color w:val="000000"/>
                <w:szCs w:val="21"/>
                <w:highlight w:val="none"/>
                <w:lang w:val="en-US" w:eastAsia="zh-CN"/>
              </w:rPr>
              <w:t>管理</w:t>
            </w:r>
            <w:r>
              <w:rPr>
                <w:rFonts w:hint="eastAsia"/>
                <w:color w:val="000000"/>
                <w:szCs w:val="21"/>
                <w:highlight w:val="none"/>
              </w:rPr>
              <w:t>目标及其实现的策划</w:t>
            </w:r>
          </w:p>
          <w:p>
            <w:pPr>
              <w:rPr>
                <w:highlight w:val="none"/>
              </w:rPr>
            </w:pPr>
          </w:p>
        </w:tc>
        <w:tc>
          <w:tcPr>
            <w:tcW w:w="1216" w:type="dxa"/>
            <w:vMerge w:val="restart"/>
            <w:shd w:val="clear" w:color="auto" w:fill="auto"/>
          </w:tcPr>
          <w:p>
            <w:pPr>
              <w:rPr>
                <w:rFonts w:hint="eastAsia"/>
              </w:rPr>
            </w:pPr>
            <w:r>
              <w:rPr>
                <w:rFonts w:hint="eastAsia"/>
                <w:lang w:val="en-US" w:eastAsia="zh-CN"/>
              </w:rPr>
              <w:t>En</w:t>
            </w:r>
            <w:r>
              <w:rPr>
                <w:rFonts w:hint="eastAsia"/>
              </w:rPr>
              <w:t>6.2</w:t>
            </w:r>
          </w:p>
          <w:p>
            <w:pPr>
              <w:pStyle w:val="21"/>
              <w:rPr>
                <w:rFonts w:hint="eastAsia"/>
                <w:color w:val="000000"/>
                <w:szCs w:val="21"/>
                <w:highlight w:val="none"/>
                <w:lang w:val="en-US" w:eastAsia="zh-CN"/>
              </w:rPr>
            </w:pPr>
          </w:p>
          <w:p>
            <w:pPr>
              <w:pStyle w:val="21"/>
              <w:rPr>
                <w:rFonts w:hint="default"/>
                <w:color w:val="000000"/>
                <w:szCs w:val="21"/>
                <w:highlight w:val="none"/>
                <w:lang w:val="en-US" w:eastAsia="zh-CN"/>
              </w:rPr>
            </w:pP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如：</w:t>
            </w:r>
            <w:r>
              <w:rPr>
                <w:rFonts w:hint="eastAsia" w:ascii="Times New Roman" w:hAnsi="Times New Roman" w:eastAsia="宋体" w:cs="Times New Roman"/>
                <w:szCs w:val="22"/>
                <w:lang w:val="en-US" w:eastAsia="zh-CN"/>
              </w:rPr>
              <w:sym w:font="Wingdings" w:char="00FE"/>
            </w:r>
            <w:r>
              <w:rPr>
                <w:rFonts w:hint="eastAsia" w:ascii="Times New Roman" w:hAnsi="Times New Roman" w:eastAsia="宋体" w:cs="Times New Roman"/>
                <w:szCs w:val="22"/>
                <w:lang w:val="en-US" w:eastAsia="zh-CN"/>
              </w:rPr>
              <w:t>手册第6.2章、</w:t>
            </w:r>
            <w:r>
              <w:rPr>
                <w:rFonts w:hint="eastAsia" w:ascii="Times New Roman" w:hAnsi="Times New Roman" w:eastAsia="宋体" w:cs="Times New Roman"/>
                <w:szCs w:val="22"/>
                <w:lang w:val="en-US" w:eastAsia="zh-CN"/>
              </w:rPr>
              <w:sym w:font="Wingdings" w:char="00FE"/>
            </w:r>
            <w:r>
              <w:rPr>
                <w:rFonts w:hint="eastAsia" w:ascii="Times New Roman" w:hAnsi="Times New Roman" w:eastAsia="宋体" w:cs="Times New Roman"/>
                <w:szCs w:val="22"/>
                <w:lang w:val="en-US" w:eastAsia="zh-CN"/>
              </w:rPr>
              <w:t>《目标、指标的制定控制程序》</w:t>
            </w:r>
          </w:p>
        </w:tc>
        <w:tc>
          <w:tcPr>
            <w:tcW w:w="1293" w:type="dxa"/>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226"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组织建立了与方针一致的文件化的管理目标。为实现总的管理目标而建立的各层级的目标，具体、有针对性、可测量并且可实现。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总管理目标的实现情况的评价，及其测量方法是：</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p>
          <w:tbl>
            <w:tblPr>
              <w:tblStyle w:val="19"/>
              <w:tblW w:w="9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1073"/>
              <w:gridCol w:w="2354"/>
              <w:gridCol w:w="1298"/>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309" w:type="dxa"/>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能源目标2022年指标</w:t>
                  </w:r>
                </w:p>
              </w:tc>
              <w:tc>
                <w:tcPr>
                  <w:tcW w:w="1073" w:type="dxa"/>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考核频次</w:t>
                  </w:r>
                </w:p>
              </w:tc>
              <w:tc>
                <w:tcPr>
                  <w:tcW w:w="2354" w:type="dxa"/>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计算方法/考核内容</w:t>
                  </w:r>
                </w:p>
              </w:tc>
              <w:tc>
                <w:tcPr>
                  <w:tcW w:w="1298" w:type="dxa"/>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责任部门</w:t>
                  </w:r>
                </w:p>
              </w:tc>
              <w:tc>
                <w:tcPr>
                  <w:tcW w:w="2147"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完成情况（2022年）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309" w:type="dxa"/>
                  <w:shd w:val="clear" w:color="auto" w:fill="auto"/>
                  <w:vAlign w:val="center"/>
                </w:tcPr>
                <w:p>
                  <w:pPr>
                    <w:jc w:val="left"/>
                    <w:rPr>
                      <w:rFonts w:hint="default" w:ascii="Times New Roman" w:hAnsi="Times New Roman" w:eastAsia="宋体" w:cs="Times New Roman"/>
                      <w:szCs w:val="22"/>
                      <w:lang w:val="en-US" w:eastAsia="zh-CN"/>
                    </w:rPr>
                  </w:pPr>
                  <w:r>
                    <w:rPr>
                      <w:rFonts w:hint="eastAsia" w:ascii="宋体" w:hAnsi="宋体"/>
                      <w:sz w:val="21"/>
                      <w:szCs w:val="21"/>
                    </w:rPr>
                    <w:t>员工培训覆盖率</w:t>
                  </w:r>
                  <w:r>
                    <w:rPr>
                      <w:rFonts w:hint="eastAsia" w:ascii="宋体" w:hAnsi="宋体"/>
                      <w:color w:val="auto"/>
                      <w:sz w:val="21"/>
                      <w:szCs w:val="21"/>
                    </w:rPr>
                    <w:t>100%</w:t>
                  </w:r>
                </w:p>
              </w:tc>
              <w:tc>
                <w:tcPr>
                  <w:tcW w:w="107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每年</w:t>
                  </w:r>
                </w:p>
              </w:tc>
              <w:tc>
                <w:tcPr>
                  <w:tcW w:w="23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szCs w:val="22"/>
                      <w:lang w:val="en-US" w:eastAsia="zh-CN"/>
                    </w:rPr>
                  </w:pPr>
                  <w:r>
                    <w:rPr>
                      <w:rFonts w:hint="eastAsia" w:ascii="宋体" w:hAnsi="宋体" w:cs="Times New Roman"/>
                      <w:sz w:val="21"/>
                      <w:szCs w:val="21"/>
                      <w:lang w:val="en-US" w:eastAsia="zh-CN"/>
                    </w:rPr>
                    <w:t>实际培训人数/应培训人数x100%</w:t>
                  </w:r>
                </w:p>
              </w:tc>
              <w:tc>
                <w:tcPr>
                  <w:tcW w:w="12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综合股</w:t>
                  </w:r>
                </w:p>
              </w:tc>
              <w:tc>
                <w:tcPr>
                  <w:tcW w:w="214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309" w:type="dxa"/>
                  <w:shd w:val="clear" w:color="auto" w:fill="auto"/>
                  <w:vAlign w:val="center"/>
                </w:tcPr>
                <w:p>
                  <w:pPr>
                    <w:ind w:left="210" w:leftChars="0" w:hanging="210" w:hangingChars="100"/>
                    <w:jc w:val="left"/>
                    <w:rPr>
                      <w:rFonts w:hint="eastAsia" w:ascii="Times New Roman" w:hAnsi="Times New Roman" w:eastAsia="宋体" w:cs="Times New Roman"/>
                      <w:szCs w:val="22"/>
                      <w:lang w:val="en-US" w:eastAsia="zh-CN"/>
                    </w:rPr>
                  </w:pPr>
                  <w:r>
                    <w:rPr>
                      <w:rFonts w:hint="eastAsia" w:ascii="宋体" w:hAnsi="宋体"/>
                      <w:sz w:val="21"/>
                      <w:szCs w:val="21"/>
                      <w:lang w:val="en-US" w:eastAsia="zh-CN"/>
                    </w:rPr>
                    <w:t>汽油</w:t>
                  </w:r>
                  <w:r>
                    <w:rPr>
                      <w:rFonts w:hint="eastAsia" w:ascii="宋体" w:hAnsi="宋体"/>
                      <w:sz w:val="21"/>
                      <w:szCs w:val="21"/>
                    </w:rPr>
                    <w:t>采购符合节能降耗规定</w:t>
                  </w:r>
                </w:p>
              </w:tc>
              <w:tc>
                <w:tcPr>
                  <w:tcW w:w="107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每月</w:t>
                  </w:r>
                </w:p>
              </w:tc>
              <w:tc>
                <w:tcPr>
                  <w:tcW w:w="23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定期检查</w:t>
                  </w:r>
                </w:p>
              </w:tc>
              <w:tc>
                <w:tcPr>
                  <w:tcW w:w="12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节能减排股</w:t>
                  </w:r>
                </w:p>
              </w:tc>
              <w:tc>
                <w:tcPr>
                  <w:tcW w:w="214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fldChar w:fldCharType="begin"/>
            </w:r>
            <w:r>
              <w:rPr>
                <w:rFonts w:hint="eastAsia" w:ascii="Times New Roman" w:hAnsi="Times New Roman" w:eastAsia="宋体" w:cs="Times New Roman"/>
                <w:szCs w:val="22"/>
                <w:lang w:val="en-US" w:eastAsia="zh-CN"/>
              </w:rPr>
              <w:instrText xml:space="preserve"> eq \o\ac(□,√)</w:instrText>
            </w:r>
            <w:r>
              <w:rPr>
                <w:rFonts w:hint="eastAsia" w:ascii="Times New Roman" w:hAnsi="Times New Roman" w:eastAsia="宋体" w:cs="Times New Roman"/>
                <w:szCs w:val="22"/>
                <w:lang w:val="en-US" w:eastAsia="zh-CN"/>
              </w:rPr>
              <w:fldChar w:fldCharType="end"/>
            </w:r>
            <w:r>
              <w:rPr>
                <w:rFonts w:hint="eastAsia" w:ascii="Times New Roman" w:hAnsi="Times New Roman" w:eastAsia="宋体" w:cs="Times New Roman"/>
                <w:szCs w:val="22"/>
                <w:lang w:val="en-US" w:eastAsia="zh-CN"/>
              </w:rPr>
              <w:t>2022年目标已实现。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sym w:font="Wingdings" w:char="00A8"/>
            </w:r>
            <w:r>
              <w:rPr>
                <w:rFonts w:hint="eastAsia" w:ascii="Times New Roman" w:hAnsi="Times New Roman" w:eastAsia="宋体" w:cs="Times New Roman"/>
                <w:szCs w:val="22"/>
                <w:lang w:val="en-US" w:eastAsia="zh-CN"/>
              </w:rPr>
              <w:t>目标没有实现的，组织在内部及时进行原因分析并采取了改进措施。</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26" w:type="dxa"/>
            <w:vMerge w:val="restart"/>
          </w:tcPr>
          <w:p>
            <w:pPr>
              <w:rPr>
                <w:rFonts w:hint="default" w:eastAsia="宋体"/>
                <w:lang w:val="en-US" w:eastAsia="zh-CN"/>
              </w:rPr>
            </w:pPr>
            <w:r>
              <w:rPr>
                <w:rFonts w:hint="eastAsia"/>
                <w:lang w:val="en-US" w:eastAsia="zh-CN"/>
              </w:rPr>
              <w:t>运行、绩效监视、不符合整改</w:t>
            </w:r>
          </w:p>
        </w:tc>
        <w:tc>
          <w:tcPr>
            <w:tcW w:w="1216" w:type="dxa"/>
            <w:vMerge w:val="restart"/>
          </w:tcPr>
          <w:p>
            <w:pPr>
              <w:rPr>
                <w:rFonts w:hint="default"/>
                <w:lang w:val="en-US" w:eastAsia="zh-CN"/>
              </w:rPr>
            </w:pPr>
            <w:r>
              <w:rPr>
                <w:rFonts w:hint="eastAsia"/>
                <w:lang w:val="en-US" w:eastAsia="zh-CN"/>
              </w:rPr>
              <w:t>En8.1/9.1.1/10.1</w:t>
            </w:r>
          </w:p>
          <w:p>
            <w:pPr>
              <w:rPr>
                <w:rFonts w:hint="default"/>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vAlign w:val="top"/>
          </w:tcPr>
          <w:p>
            <w:pPr>
              <w:rPr>
                <w:rFonts w:hint="default" w:ascii="Times New Roman" w:hAnsi="Times New Roman" w:eastAsia="宋体" w:cs="Times New Roman"/>
                <w:kern w:val="2"/>
                <w:sz w:val="21"/>
                <w:lang w:val="en-US" w:eastAsia="zh-CN" w:bidi="ar-SA"/>
              </w:rPr>
            </w:pPr>
            <w:r>
              <w:rPr>
                <w:rFonts w:hint="eastAsia"/>
              </w:rPr>
              <w:t>如</w:t>
            </w:r>
            <w:r>
              <w:rPr>
                <w:rFonts w:hint="eastAsia"/>
                <w:lang w:eastAsia="zh-CN"/>
              </w:rPr>
              <w:t>：</w:t>
            </w:r>
            <w:r>
              <w:rPr>
                <w:color w:val="auto"/>
                <w:highlight w:val="none"/>
              </w:rPr>
              <w:sym w:font="Wingdings" w:char="00FE"/>
            </w:r>
            <w:r>
              <w:rPr>
                <w:rFonts w:hint="eastAsia"/>
                <w:lang w:val="en-US" w:eastAsia="zh-CN"/>
              </w:rPr>
              <w:t>手册8.1条款，</w:t>
            </w:r>
            <w:r>
              <w:rPr>
                <w:color w:val="auto"/>
                <w:highlight w:val="none"/>
              </w:rPr>
              <w:sym w:font="Wingdings" w:char="00FE"/>
            </w:r>
            <w:r>
              <w:rPr>
                <w:rFonts w:hint="eastAsia"/>
              </w:rPr>
              <w:t>《</w:t>
            </w:r>
            <w:r>
              <w:rPr>
                <w:rFonts w:hint="eastAsia"/>
                <w:lang w:val="en-US" w:eastAsia="zh-CN"/>
              </w:rPr>
              <w:t>运行</w:t>
            </w:r>
            <w:r>
              <w:rPr>
                <w:rFonts w:hint="eastAsia"/>
              </w:rPr>
              <w:t>控制程序》</w:t>
            </w:r>
            <w:r>
              <w:rPr>
                <w:color w:val="auto"/>
                <w:highlight w:val="none"/>
              </w:rPr>
              <w:sym w:font="Wingdings" w:char="00FE"/>
            </w:r>
            <w:r>
              <w:rPr>
                <w:rFonts w:hint="eastAsia"/>
                <w:highlight w:val="none"/>
              </w:rPr>
              <w:t>《</w:t>
            </w:r>
            <w:r>
              <w:rPr>
                <w:rFonts w:hint="eastAsia" w:ascii="Times New Roman" w:hAnsi="Times New Roman" w:eastAsia="宋体" w:cs="Times New Roman"/>
                <w:szCs w:val="22"/>
                <w:highlight w:val="none"/>
                <w:lang w:val="en-US" w:eastAsia="zh-CN"/>
              </w:rPr>
              <w:t>不符合、纠正、改进措施程序</w:t>
            </w:r>
            <w:r>
              <w:rPr>
                <w:rFonts w:hint="eastAsia"/>
                <w:highlight w:val="none"/>
              </w:rPr>
              <w:t>》</w:t>
            </w:r>
          </w:p>
        </w:tc>
        <w:tc>
          <w:tcPr>
            <w:tcW w:w="1293" w:type="dxa"/>
            <w:vMerge w:val="restart"/>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226" w:type="dxa"/>
            <w:vMerge w:val="continue"/>
          </w:tcPr>
          <w:p>
            <w:pPr>
              <w:rPr>
                <w:rFonts w:hint="default" w:eastAsia="宋体"/>
                <w:lang w:val="en-US" w:eastAsia="zh-CN"/>
              </w:rPr>
            </w:pPr>
          </w:p>
        </w:tc>
        <w:tc>
          <w:tcPr>
            <w:tcW w:w="1216" w:type="dxa"/>
            <w:vMerge w:val="continue"/>
          </w:tcPr>
          <w:p>
            <w:pPr>
              <w:pStyle w:val="21"/>
              <w:rPr>
                <w:rFonts w:hint="default"/>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color w:val="auto"/>
                <w:lang w:val="en-US" w:eastAsia="zh-CN"/>
              </w:rPr>
              <w:t>运行证据</w:t>
            </w:r>
          </w:p>
        </w:tc>
        <w:tc>
          <w:tcPr>
            <w:tcW w:w="9766" w:type="dxa"/>
            <w:vAlign w:val="top"/>
          </w:tcPr>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lang w:val="en-US" w:eastAsia="zh-CN"/>
              </w:rPr>
            </w:pPr>
            <w:r>
              <w:rPr>
                <w:rFonts w:hint="eastAsia"/>
                <w:lang w:val="en-US" w:eastAsia="zh-CN"/>
              </w:rPr>
              <w:t>1.节约用电的控制：</w:t>
            </w:r>
            <w:r>
              <w:rPr>
                <w:rFonts w:hint="eastAsia"/>
                <w:lang w:val="en-US" w:eastAsia="zh-CN"/>
              </w:rPr>
              <w:sym w:font="Wingdings" w:char="00FE"/>
            </w:r>
            <w:r>
              <w:rPr>
                <w:rFonts w:hint="eastAsia"/>
                <w:lang w:val="en-US" w:eastAsia="zh-CN"/>
              </w:rPr>
              <w:t>随手关灯、</w:t>
            </w:r>
            <w:r>
              <w:rPr>
                <w:rFonts w:hint="eastAsia"/>
                <w:lang w:val="en-US" w:eastAsia="zh-CN"/>
              </w:rPr>
              <w:sym w:font="Wingdings" w:char="00FE"/>
            </w:r>
            <w:r>
              <w:rPr>
                <w:rFonts w:hint="eastAsia"/>
                <w:lang w:val="en-US" w:eastAsia="zh-CN"/>
              </w:rPr>
              <w:t>下班前关闭电源、</w:t>
            </w:r>
            <w:r>
              <w:rPr>
                <w:rFonts w:hint="eastAsia"/>
                <w:lang w:val="en-US" w:eastAsia="zh-CN"/>
              </w:rPr>
              <w:sym w:font="Wingdings" w:char="00FE"/>
            </w:r>
            <w:r>
              <w:rPr>
                <w:rFonts w:hint="eastAsia"/>
                <w:lang w:val="en-US" w:eastAsia="zh-CN"/>
              </w:rPr>
              <w:t>控制空调温度（夏季≥26℃；冬季≤20℃）</w:t>
            </w:r>
          </w:p>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lang w:val="en-US" w:eastAsia="zh-CN"/>
              </w:rPr>
            </w:pPr>
            <w:r>
              <w:rPr>
                <w:rFonts w:hint="eastAsia"/>
                <w:lang w:val="en-US" w:eastAsia="zh-CN"/>
              </w:rPr>
              <w:t>2.节约用水的控制：</w:t>
            </w:r>
            <w:r>
              <w:rPr>
                <w:rFonts w:hint="eastAsia"/>
                <w:lang w:val="en-US" w:eastAsia="zh-CN"/>
              </w:rPr>
              <w:sym w:font="Wingdings" w:char="00FE"/>
            </w:r>
            <w:r>
              <w:rPr>
                <w:rFonts w:hint="eastAsia"/>
                <w:lang w:val="en-US" w:eastAsia="zh-CN"/>
              </w:rPr>
              <w:t xml:space="preserve">随手关水龙头  </w:t>
            </w:r>
            <w:r>
              <w:rPr>
                <w:rFonts w:hint="eastAsia"/>
                <w:lang w:val="en-US" w:eastAsia="zh-CN"/>
              </w:rPr>
              <w:sym w:font="Wingdings" w:char="00FE"/>
            </w:r>
            <w:r>
              <w:rPr>
                <w:rFonts w:hint="eastAsia"/>
                <w:lang w:val="en-US" w:eastAsia="zh-CN"/>
              </w:rPr>
              <w:t>使用节水龙头及马桶</w:t>
            </w:r>
          </w:p>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lang w:val="en-US" w:eastAsia="zh-CN"/>
              </w:rPr>
            </w:pPr>
            <w:r>
              <w:rPr>
                <w:rFonts w:hint="eastAsia"/>
                <w:lang w:val="en-US" w:eastAsia="zh-CN"/>
              </w:rPr>
              <w:t>3.节约用纸的控制：</w:t>
            </w:r>
            <w:r>
              <w:rPr>
                <w:rFonts w:hint="eastAsia"/>
                <w:lang w:val="en-US" w:eastAsia="zh-CN"/>
              </w:rPr>
              <w:sym w:font="Wingdings" w:char="00FE"/>
            </w:r>
            <w:r>
              <w:rPr>
                <w:rFonts w:hint="eastAsia"/>
                <w:lang w:val="en-US" w:eastAsia="zh-CN"/>
              </w:rPr>
              <w:t xml:space="preserve">纸张双面使用  </w:t>
            </w:r>
            <w:r>
              <w:rPr>
                <w:rFonts w:hint="eastAsia"/>
                <w:lang w:val="en-US" w:eastAsia="zh-CN"/>
              </w:rPr>
              <w:sym w:font="Wingdings" w:char="00FE"/>
            </w:r>
            <w:r>
              <w:rPr>
                <w:rFonts w:hint="eastAsia"/>
                <w:lang w:val="en-US" w:eastAsia="zh-CN"/>
              </w:rPr>
              <w:t>尽量采用电子版文件</w:t>
            </w:r>
          </w:p>
          <w:p>
            <w:pPr>
              <w:pStyle w:val="6"/>
              <w:rPr>
                <w:rFonts w:hint="default"/>
                <w:lang w:val="en-US" w:eastAsia="zh-CN"/>
              </w:rPr>
            </w:pPr>
            <w:r>
              <w:rPr>
                <w:rFonts w:hint="eastAsia"/>
                <w:lang w:val="en-US" w:eastAsia="zh-CN"/>
              </w:rPr>
              <w:t>提供车辆管理制度</w:t>
            </w:r>
          </w:p>
          <w:p>
            <w:pPr>
              <w:pStyle w:val="7"/>
              <w:numPr>
                <w:ilvl w:val="0"/>
                <w:numId w:val="0"/>
              </w:numPr>
              <w:rPr>
                <w:rFonts w:hint="eastAsia"/>
                <w:lang w:val="en-US" w:eastAsia="zh-CN"/>
              </w:rPr>
            </w:pPr>
            <w:r>
              <w:drawing>
                <wp:inline distT="0" distB="0" distL="114300" distR="114300">
                  <wp:extent cx="1528445" cy="1974215"/>
                  <wp:effectExtent l="0" t="0" r="8255" b="698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4"/>
                          <a:stretch>
                            <a:fillRect/>
                          </a:stretch>
                        </pic:blipFill>
                        <pic:spPr>
                          <a:xfrm>
                            <a:off x="0" y="0"/>
                            <a:ext cx="1528445" cy="19742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42720" cy="1986915"/>
                  <wp:effectExtent l="0" t="0" r="5080" b="698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5"/>
                          <a:stretch>
                            <a:fillRect/>
                          </a:stretch>
                        </pic:blipFill>
                        <pic:spPr>
                          <a:xfrm>
                            <a:off x="0" y="0"/>
                            <a:ext cx="1442720" cy="19869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50670" cy="1993900"/>
                  <wp:effectExtent l="0" t="0" r="1143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6"/>
                          <a:stretch>
                            <a:fillRect/>
                          </a:stretch>
                        </pic:blipFill>
                        <pic:spPr>
                          <a:xfrm>
                            <a:off x="0" y="0"/>
                            <a:ext cx="1550670" cy="1993900"/>
                          </a:xfrm>
                          <a:prstGeom prst="rect">
                            <a:avLst/>
                          </a:prstGeom>
                          <a:noFill/>
                          <a:ln>
                            <a:noFill/>
                          </a:ln>
                        </pic:spPr>
                      </pic:pic>
                    </a:graphicData>
                  </a:graphic>
                </wp:inline>
              </w:drawing>
            </w:r>
          </w:p>
          <w:p>
            <w:pPr>
              <w:pStyle w:val="7"/>
              <w:numPr>
                <w:ilvl w:val="0"/>
                <w:numId w:val="0"/>
              </w:numPr>
              <w:rPr>
                <w:rFonts w:hint="default"/>
                <w:lang w:val="en-US" w:eastAsia="zh-CN"/>
              </w:rPr>
            </w:pPr>
            <w:r>
              <w:rPr>
                <w:rFonts w:hint="eastAsia"/>
                <w:lang w:val="en-US" w:eastAsia="zh-CN"/>
              </w:rPr>
              <w:t>提供加油票发票。</w:t>
            </w:r>
          </w:p>
          <w:p>
            <w:pPr>
              <w:pStyle w:val="7"/>
              <w:numPr>
                <w:ilvl w:val="0"/>
                <w:numId w:val="0"/>
              </w:numPr>
              <w:rPr>
                <w:rFonts w:hint="eastAsia"/>
                <w:lang w:val="en-US" w:eastAsia="zh-CN"/>
              </w:rPr>
            </w:pPr>
            <w:r>
              <w:drawing>
                <wp:inline distT="0" distB="0" distL="114300" distR="114300">
                  <wp:extent cx="2895600" cy="1721485"/>
                  <wp:effectExtent l="0" t="0" r="0" b="571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7"/>
                          <a:stretch>
                            <a:fillRect/>
                          </a:stretch>
                        </pic:blipFill>
                        <pic:spPr>
                          <a:xfrm>
                            <a:off x="0" y="0"/>
                            <a:ext cx="2895600" cy="17214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83535" cy="1695450"/>
                  <wp:effectExtent l="0" t="0" r="12065" b="635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8"/>
                          <a:stretch>
                            <a:fillRect/>
                          </a:stretch>
                        </pic:blipFill>
                        <pic:spPr>
                          <a:xfrm>
                            <a:off x="0" y="0"/>
                            <a:ext cx="2883535" cy="1695450"/>
                          </a:xfrm>
                          <a:prstGeom prst="rect">
                            <a:avLst/>
                          </a:prstGeom>
                          <a:noFill/>
                          <a:ln>
                            <a:noFill/>
                          </a:ln>
                        </pic:spPr>
                      </pic:pic>
                    </a:graphicData>
                  </a:graphic>
                </wp:inline>
              </w:drawing>
            </w:r>
          </w:p>
          <w:p>
            <w:pPr>
              <w:rPr>
                <w:rFonts w:hint="eastAsia"/>
                <w:lang w:val="en-US" w:eastAsia="zh-CN"/>
              </w:rPr>
            </w:pPr>
            <w:r>
              <w:rPr>
                <w:rFonts w:hint="eastAsia"/>
                <w:lang w:val="en-US" w:eastAsia="zh-CN"/>
              </w:rPr>
              <w:t>检查的问题已整改。</w:t>
            </w:r>
          </w:p>
          <w:p>
            <w:pPr>
              <w:pStyle w:val="2"/>
              <w:rPr>
                <w:rFonts w:hint="eastAsia"/>
                <w:lang w:val="en-US" w:eastAsia="zh-CN"/>
              </w:rPr>
            </w:pPr>
          </w:p>
          <w:p>
            <w:pPr>
              <w:rPr>
                <w:rFonts w:hint="eastAsia"/>
                <w:lang w:val="en-US" w:eastAsia="zh-CN"/>
              </w:rPr>
            </w:pPr>
            <w:r>
              <w:rPr>
                <w:rFonts w:hint="eastAsia"/>
                <w:lang w:val="en-US" w:eastAsia="zh-CN"/>
              </w:rPr>
              <w:t>不符合的来源：</w:t>
            </w:r>
          </w:p>
          <w:p>
            <w:pPr>
              <w:rPr>
                <w:rFonts w:hint="default"/>
                <w:lang w:val="en-US" w:eastAsia="zh-CN"/>
              </w:rPr>
            </w:pPr>
            <w:r>
              <w:rPr>
                <w:rFonts w:hint="eastAsia"/>
                <w:lang w:val="en-US" w:eastAsia="zh-CN"/>
              </w:rPr>
              <w:t xml:space="preserve"> </w:t>
            </w:r>
            <w:r>
              <w:rPr>
                <w:rFonts w:hint="eastAsia"/>
                <w:lang w:val="en-US" w:eastAsia="zh-CN"/>
              </w:rPr>
              <w:sym w:font="Wingdings" w:char="00FE"/>
            </w:r>
            <w:r>
              <w:rPr>
                <w:rFonts w:hint="eastAsia"/>
                <w:lang w:val="en-US" w:eastAsia="zh-CN"/>
              </w:rPr>
              <w:t>工作运行中发现的问题 ——日常控制中的发现的问题及时整改。见检查记录及整改</w:t>
            </w:r>
          </w:p>
          <w:p>
            <w:pPr>
              <w:rPr>
                <w:rFonts w:hint="default"/>
                <w:lang w:val="en-US" w:eastAsia="zh-CN"/>
              </w:rPr>
            </w:pPr>
            <w:r>
              <w:rPr>
                <w:rFonts w:hint="eastAsia"/>
                <w:lang w:val="en-US" w:eastAsia="zh-CN"/>
              </w:rPr>
              <w:t xml:space="preserve"> </w:t>
            </w:r>
            <w:r>
              <w:rPr>
                <w:rFonts w:hint="eastAsia"/>
                <w:lang w:val="en-US" w:eastAsia="zh-CN"/>
              </w:rPr>
              <w:sym w:font="Wingdings" w:char="00FE"/>
            </w:r>
            <w:r>
              <w:rPr>
                <w:rFonts w:hint="eastAsia"/>
                <w:lang w:val="en-US" w:eastAsia="zh-CN"/>
              </w:rPr>
              <w:t>内审——2022年11月份中心的能源管理体系内审和12月份管理评审中公务用房和车辆管理股未发现不符合。</w:t>
            </w:r>
          </w:p>
        </w:tc>
        <w:tc>
          <w:tcPr>
            <w:tcW w:w="1293" w:type="dxa"/>
            <w:vMerge w:val="continue"/>
          </w:tcPr>
          <w:p>
            <w:pPr>
              <w:rPr>
                <w:highlight w:val="none"/>
              </w:rPr>
            </w:pPr>
          </w:p>
        </w:tc>
      </w:tr>
    </w:tbl>
    <w:p>
      <w:pPr>
        <w:pStyle w:val="11"/>
        <w:rPr>
          <w:rFonts w:hint="eastAsia"/>
        </w:rPr>
      </w:pPr>
      <w:r>
        <w:rPr>
          <w:rFonts w:hint="eastAsia"/>
        </w:rPr>
        <w:t>说明：不符合标注N</w:t>
      </w:r>
    </w:p>
    <w:p>
      <w:pPr>
        <w:pStyle w:val="11"/>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8"/>
        <w:tblW w:w="14217" w:type="dxa"/>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216"/>
        <w:gridCol w:w="716"/>
        <w:gridCol w:w="9766"/>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26"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216"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2" w:type="dxa"/>
            <w:gridSpan w:val="2"/>
            <w:vAlign w:val="center"/>
          </w:tcPr>
          <w:p>
            <w:pPr>
              <w:rPr>
                <w:rFonts w:hint="default" w:eastAsia="宋体"/>
                <w:sz w:val="24"/>
                <w:szCs w:val="24"/>
                <w:lang w:val="en-US" w:eastAsia="zh-CN"/>
              </w:rPr>
            </w:pPr>
            <w:r>
              <w:rPr>
                <w:rFonts w:hint="eastAsia"/>
                <w:sz w:val="24"/>
                <w:szCs w:val="24"/>
              </w:rPr>
              <w:t>受审核部门：</w:t>
            </w:r>
            <w:r>
              <w:rPr>
                <w:rFonts w:hint="eastAsia" w:ascii="Times New Roman" w:hAnsi="Times New Roman" w:eastAsia="宋体" w:cs="Times New Roman"/>
                <w:sz w:val="24"/>
                <w:szCs w:val="24"/>
                <w:lang w:val="en-US" w:eastAsia="zh-CN"/>
              </w:rPr>
              <w:t xml:space="preserve">公务接待一股/ 公务接待二股 </w:t>
            </w:r>
            <w:r>
              <w:rPr>
                <w:sz w:val="24"/>
                <w:szCs w:val="24"/>
              </w:rPr>
              <w:t xml:space="preserve">  </w:t>
            </w:r>
            <w:r>
              <w:rPr>
                <w:rFonts w:hint="eastAsia"/>
                <w:sz w:val="24"/>
                <w:szCs w:val="24"/>
              </w:rPr>
              <w:t>负责人：</w:t>
            </w:r>
            <w:r>
              <w:rPr>
                <w:rFonts w:hint="eastAsia"/>
                <w:sz w:val="24"/>
                <w:szCs w:val="24"/>
                <w:highlight w:val="none"/>
                <w:lang w:val="en-US" w:eastAsia="zh-CN"/>
              </w:rPr>
              <w:t>刘丹/张锐</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highlight w:val="none"/>
                <w:lang w:val="en-US" w:eastAsia="zh-CN"/>
              </w:rPr>
              <w:t>陈小勤</w:t>
            </w:r>
          </w:p>
        </w:tc>
        <w:tc>
          <w:tcPr>
            <w:tcW w:w="129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26" w:type="dxa"/>
            <w:vMerge w:val="continue"/>
            <w:vAlign w:val="center"/>
          </w:tcPr>
          <w:p/>
        </w:tc>
        <w:tc>
          <w:tcPr>
            <w:tcW w:w="1216" w:type="dxa"/>
            <w:vMerge w:val="continue"/>
            <w:vAlign w:val="center"/>
          </w:tcPr>
          <w:p/>
        </w:tc>
        <w:tc>
          <w:tcPr>
            <w:tcW w:w="10482" w:type="dxa"/>
            <w:gridSpan w:val="2"/>
            <w:vAlign w:val="center"/>
          </w:tcPr>
          <w:p>
            <w:pPr>
              <w:tabs>
                <w:tab w:val="center" w:pos="4894"/>
              </w:tabs>
              <w:spacing w:before="120"/>
              <w:rPr>
                <w:rFonts w:hint="default"/>
                <w:sz w:val="24"/>
                <w:lang w:val="en-US"/>
              </w:rPr>
            </w:pPr>
            <w:r>
              <w:rPr>
                <w:rFonts w:hint="eastAsia"/>
                <w:sz w:val="24"/>
                <w:szCs w:val="24"/>
              </w:rPr>
              <w:t>审核员：</w:t>
            </w:r>
            <w:r>
              <w:rPr>
                <w:rFonts w:hint="eastAsia"/>
                <w:sz w:val="21"/>
                <w:szCs w:val="21"/>
                <w:lang w:val="en-US" w:eastAsia="zh-CN"/>
              </w:rPr>
              <w:t>李</w:t>
            </w:r>
            <w:r>
              <w:rPr>
                <w:rFonts w:hint="eastAsia" w:ascii="Times New Roman" w:hAnsi="Times New Roman" w:eastAsia="宋体" w:cs="Times New Roman"/>
                <w:sz w:val="24"/>
                <w:szCs w:val="24"/>
                <w:lang w:val="en-US" w:eastAsia="zh-CN"/>
              </w:rPr>
              <w:t>丽英</w:t>
            </w:r>
            <w:r>
              <w:rPr>
                <w:rFonts w:hint="eastAsia" w:cs="Times New Roman"/>
                <w:sz w:val="24"/>
                <w:szCs w:val="24"/>
                <w:lang w:val="en-US" w:eastAsia="zh-CN"/>
              </w:rPr>
              <w:t xml:space="preserve">   </w:t>
            </w:r>
            <w:bookmarkStart w:id="1" w:name="_GoBack"/>
            <w:r>
              <w:rPr>
                <w:rFonts w:hint="eastAsia" w:ascii="Times New Roman" w:hAnsi="Times New Roman" w:eastAsia="宋体" w:cs="Times New Roman"/>
                <w:sz w:val="24"/>
                <w:szCs w:val="24"/>
                <w:lang w:val="en-US" w:eastAsia="zh-CN"/>
              </w:rPr>
              <w:t xml:space="preserve">（远程采用、微信、腾讯会议、电话等工具） </w:t>
            </w:r>
            <w:bookmarkEnd w:id="1"/>
            <w:r>
              <w:rPr>
                <w:rFonts w:hint="eastAsia" w:cs="Times New Roman"/>
                <w:sz w:val="24"/>
                <w:szCs w:val="24"/>
                <w:lang w:val="en-US" w:eastAsia="zh-CN"/>
              </w:rPr>
              <w:t xml:space="preserve"> </w:t>
            </w:r>
            <w:r>
              <w:rPr>
                <w:rFonts w:hint="eastAsia"/>
                <w:sz w:val="24"/>
                <w:szCs w:val="24"/>
              </w:rPr>
              <w:t>审核日期：2</w:t>
            </w:r>
            <w:r>
              <w:rPr>
                <w:sz w:val="24"/>
                <w:szCs w:val="24"/>
              </w:rPr>
              <w:t>02</w:t>
            </w:r>
            <w:r>
              <w:rPr>
                <w:rFonts w:hint="eastAsia"/>
                <w:sz w:val="24"/>
                <w:szCs w:val="24"/>
                <w:lang w:val="en-US" w:eastAsia="zh-CN"/>
              </w:rPr>
              <w:t>3</w:t>
            </w:r>
            <w:r>
              <w:rPr>
                <w:rFonts w:hint="eastAsia"/>
                <w:sz w:val="24"/>
                <w:szCs w:val="24"/>
              </w:rPr>
              <w:t>-</w:t>
            </w:r>
            <w:r>
              <w:rPr>
                <w:rFonts w:hint="eastAsia"/>
                <w:sz w:val="24"/>
                <w:szCs w:val="24"/>
                <w:lang w:val="en-US" w:eastAsia="zh-CN"/>
              </w:rPr>
              <w:t>01-18下午</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26" w:type="dxa"/>
            <w:vMerge w:val="continue"/>
            <w:vAlign w:val="center"/>
          </w:tcPr>
          <w:p/>
        </w:tc>
        <w:tc>
          <w:tcPr>
            <w:tcW w:w="1216" w:type="dxa"/>
            <w:vMerge w:val="continue"/>
            <w:vAlign w:val="center"/>
          </w:tcPr>
          <w:p/>
        </w:tc>
        <w:tc>
          <w:tcPr>
            <w:tcW w:w="10482" w:type="dxa"/>
            <w:gridSpan w:val="2"/>
            <w:vAlign w:val="center"/>
          </w:tcPr>
          <w:p>
            <w:pPr>
              <w:pStyle w:val="30"/>
              <w:spacing w:after="0" w:line="320" w:lineRule="exact"/>
              <w:rPr>
                <w:rFonts w:hint="default" w:asciiTheme="minorEastAsia" w:hAnsiTheme="minorEastAsia" w:eastAsiaTheme="minorEastAsia"/>
                <w:sz w:val="21"/>
                <w:szCs w:val="21"/>
                <w:lang w:val="en-US" w:eastAsia="zh-CN"/>
              </w:rPr>
            </w:pPr>
            <w:r>
              <w:rPr>
                <w:rFonts w:hint="eastAsia" w:ascii="宋体" w:hAnsi="宋体" w:eastAsia="宋体" w:cs="宋体"/>
                <w:sz w:val="24"/>
                <w:szCs w:val="24"/>
              </w:rPr>
              <w:t>审核条款：</w:t>
            </w:r>
            <w:r>
              <w:rPr>
                <w:rFonts w:hint="eastAsia" w:ascii="Times New Roman" w:hAnsi="Times New Roman" w:eastAsia="宋体" w:cs="Times New Roman"/>
                <w:sz w:val="21"/>
                <w:szCs w:val="21"/>
                <w:u w:val="none"/>
                <w:lang w:val="en-US" w:eastAsia="zh-CN"/>
              </w:rPr>
              <w:t>En:5.3/6.2/</w:t>
            </w:r>
            <w:r>
              <w:rPr>
                <w:rFonts w:hint="eastAsia" w:eastAsia="宋体" w:cs="Times New Roman"/>
                <w:sz w:val="21"/>
                <w:szCs w:val="21"/>
                <w:u w:val="none"/>
                <w:lang w:val="en-US" w:eastAsia="zh-CN"/>
              </w:rPr>
              <w:t>8.1/10.1</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26" w:type="dxa"/>
            <w:vMerge w:val="restart"/>
            <w:shd w:val="clear" w:color="auto" w:fill="auto"/>
          </w:tcPr>
          <w:p>
            <w:r>
              <w:rPr>
                <w:rFonts w:hint="eastAsia"/>
                <w:color w:val="000000"/>
                <w:szCs w:val="21"/>
              </w:rPr>
              <w:t>部门职责</w:t>
            </w:r>
          </w:p>
        </w:tc>
        <w:tc>
          <w:tcPr>
            <w:tcW w:w="1216" w:type="dxa"/>
            <w:vMerge w:val="restart"/>
            <w:shd w:val="clear" w:color="auto" w:fill="auto"/>
          </w:tcPr>
          <w:p>
            <w:pPr>
              <w:rPr>
                <w:color w:val="000000"/>
                <w:szCs w:val="21"/>
              </w:rPr>
            </w:pPr>
            <w:r>
              <w:rPr>
                <w:rFonts w:hint="eastAsia"/>
                <w:color w:val="000000"/>
                <w:szCs w:val="21"/>
                <w:lang w:val="en-US" w:eastAsia="zh-CN"/>
              </w:rPr>
              <w:t>En</w:t>
            </w:r>
            <w:r>
              <w:rPr>
                <w:rFonts w:hint="eastAsia"/>
                <w:color w:val="000000"/>
                <w:szCs w:val="21"/>
              </w:rPr>
              <w:t>5.3</w:t>
            </w:r>
          </w:p>
          <w:p/>
        </w:tc>
        <w:tc>
          <w:tcPr>
            <w:tcW w:w="716" w:type="dxa"/>
            <w:shd w:val="clear" w:color="auto" w:fill="auto"/>
          </w:tcPr>
          <w:p>
            <w:r>
              <w:rPr>
                <w:rFonts w:hint="eastAsia"/>
              </w:rPr>
              <w:t>文件名称</w:t>
            </w:r>
          </w:p>
        </w:tc>
        <w:tc>
          <w:tcPr>
            <w:tcW w:w="9766" w:type="dxa"/>
            <w:shd w:val="clear" w:color="auto" w:fill="auto"/>
          </w:tcPr>
          <w:p>
            <w:r>
              <w:rPr/>
              <w:sym w:font="Wingdings" w:char="00FE"/>
            </w:r>
            <w:r>
              <w:rPr>
                <w:rFonts w:hint="eastAsia"/>
              </w:rPr>
              <w:t>《管理手册》第5.3条款</w:t>
            </w:r>
          </w:p>
        </w:tc>
        <w:tc>
          <w:tcPr>
            <w:tcW w:w="1293" w:type="dxa"/>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226" w:type="dxa"/>
            <w:vMerge w:val="continue"/>
            <w:shd w:val="clear" w:color="auto" w:fill="auto"/>
          </w:tcPr>
          <w:p/>
        </w:tc>
        <w:tc>
          <w:tcPr>
            <w:tcW w:w="1216" w:type="dxa"/>
            <w:vMerge w:val="continue"/>
            <w:shd w:val="clear" w:color="auto" w:fill="auto"/>
          </w:tcPr>
          <w:p/>
        </w:tc>
        <w:tc>
          <w:tcPr>
            <w:tcW w:w="716" w:type="dxa"/>
            <w:shd w:val="clear" w:color="auto" w:fill="auto"/>
          </w:tcPr>
          <w:p>
            <w:r>
              <w:rPr>
                <w:rFonts w:hint="eastAsia"/>
              </w:rPr>
              <w:t>运行证据</w:t>
            </w:r>
          </w:p>
        </w:tc>
        <w:tc>
          <w:tcPr>
            <w:tcW w:w="9766" w:type="dxa"/>
            <w:shd w:val="clear" w:color="auto" w:fill="auto"/>
          </w:tcPr>
          <w:p>
            <w:pPr>
              <w:keepNext w:val="0"/>
              <w:keepLines w:val="0"/>
              <w:pageBreakBefore w:val="0"/>
              <w:widowControl w:val="0"/>
              <w:kinsoku/>
              <w:wordWrap/>
              <w:overflowPunct/>
              <w:topLinePunct w:val="0"/>
              <w:autoSpaceDE/>
              <w:autoSpaceDN/>
              <w:bidi w:val="0"/>
              <w:adjustRightInd/>
              <w:snapToGrid/>
              <w:spacing w:before="120"/>
              <w:textAlignment w:val="auto"/>
              <w:rPr>
                <w:rFonts w:hint="eastAsia"/>
                <w:lang w:val="en-US" w:eastAsia="zh-CN"/>
              </w:rPr>
            </w:pPr>
            <w:r>
              <w:rPr>
                <w:rFonts w:hint="eastAsia"/>
                <w:lang w:val="en-US" w:eastAsia="zh-CN"/>
              </w:rPr>
              <w:t>公务接待一股/ 公务接待二股各2人，</w:t>
            </w:r>
          </w:p>
          <w:p>
            <w:pPr>
              <w:keepNext w:val="0"/>
              <w:keepLines w:val="0"/>
              <w:pageBreakBefore w:val="0"/>
              <w:widowControl w:val="0"/>
              <w:kinsoku/>
              <w:wordWrap/>
              <w:overflowPunct/>
              <w:topLinePunct w:val="0"/>
              <w:autoSpaceDE/>
              <w:autoSpaceDN/>
              <w:bidi w:val="0"/>
              <w:adjustRightInd/>
              <w:snapToGrid/>
              <w:spacing w:before="120"/>
              <w:textAlignment w:val="auto"/>
              <w:rPr>
                <w:rFonts w:hint="eastAsia"/>
                <w:lang w:val="en-US" w:eastAsia="zh-CN"/>
              </w:rPr>
            </w:pPr>
            <w:r>
              <w:rPr>
                <w:rFonts w:hint="eastAsia"/>
                <w:lang w:val="en-US" w:eastAsia="zh-CN"/>
              </w:rPr>
              <w:t>工作职责一股：职责：负责协调、指导全区接待服务工作;负责省正厅级以上领导、市四家班子实职副厅级以上领导来南的方案制定，跟踪落实等服务保障工作;完成领导交办的其他工作。</w:t>
            </w:r>
          </w:p>
          <w:p>
            <w:pPr>
              <w:keepNext w:val="0"/>
              <w:keepLines w:val="0"/>
              <w:pageBreakBefore w:val="0"/>
              <w:widowControl w:val="0"/>
              <w:kinsoku/>
              <w:wordWrap/>
              <w:overflowPunct/>
              <w:topLinePunct w:val="0"/>
              <w:autoSpaceDE/>
              <w:autoSpaceDN/>
              <w:bidi w:val="0"/>
              <w:adjustRightInd/>
              <w:snapToGrid/>
              <w:spacing w:before="120"/>
              <w:textAlignment w:val="auto"/>
              <w:rPr>
                <w:rFonts w:hint="eastAsia"/>
                <w:lang w:val="en-US" w:eastAsia="zh-CN"/>
              </w:rPr>
            </w:pPr>
            <w:r>
              <w:rPr>
                <w:rFonts w:hint="eastAsia"/>
                <w:lang w:val="en-US" w:eastAsia="zh-CN"/>
              </w:rPr>
              <w:t>二股职责：负责协调、指导全区接待服务工作;按照有关规定负责和参与中、省，市实职副厅级及以上领导担任组长的巡视、检查、监督(督导、督察)、考察，调研、考核、审计等工作组来南服务保障工作;负责各地党政代表团来南考察的协调、联络和服务保障工作;参与指导由区级部门牵头负责接待的副厅级领导干部来南的服务保障工作:负责各地党政代表团来南考察的协调、联络和服务保障工作;参与指导由区级部门牵头负责接待的副厅级领导干部来南服务保障工作;完成领导交办的其他工作。</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有部门职责规定及岗位职责规定，内容基本符合要求。</w:t>
            </w:r>
          </w:p>
          <w:p>
            <w:pPr>
              <w:pStyle w:val="2"/>
              <w:rPr>
                <w:rFonts w:hint="eastAsia" w:eastAsia="宋体"/>
                <w:lang w:val="en-US" w:eastAsia="zh-CN"/>
              </w:rPr>
            </w:pPr>
            <w:r>
              <w:drawing>
                <wp:inline distT="0" distB="0" distL="114300" distR="114300">
                  <wp:extent cx="1632585" cy="1692910"/>
                  <wp:effectExtent l="0" t="0" r="5715" b="889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9"/>
                          <a:stretch>
                            <a:fillRect/>
                          </a:stretch>
                        </pic:blipFill>
                        <pic:spPr>
                          <a:xfrm>
                            <a:off x="0" y="0"/>
                            <a:ext cx="1632585" cy="1692910"/>
                          </a:xfrm>
                          <a:prstGeom prst="rect">
                            <a:avLst/>
                          </a:prstGeom>
                          <a:noFill/>
                          <a:ln>
                            <a:noFill/>
                          </a:ln>
                        </pic:spPr>
                      </pic:pic>
                    </a:graphicData>
                  </a:graphic>
                </wp:inline>
              </w:drawing>
            </w:r>
            <w:r>
              <w:rPr>
                <w:rFonts w:hint="eastAsia" w:eastAsia="宋体"/>
                <w:lang w:val="en-US" w:eastAsia="zh-CN"/>
              </w:rPr>
              <w:t xml:space="preserve"> </w:t>
            </w:r>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trPr>
        <w:tc>
          <w:tcPr>
            <w:tcW w:w="1226" w:type="dxa"/>
            <w:vMerge w:val="restart"/>
            <w:shd w:val="clear" w:color="auto" w:fill="auto"/>
          </w:tcPr>
          <w:p>
            <w:pPr>
              <w:rPr>
                <w:color w:val="000000"/>
                <w:szCs w:val="21"/>
                <w:highlight w:val="none"/>
              </w:rPr>
            </w:pPr>
            <w:r>
              <w:rPr>
                <w:rFonts w:hint="eastAsia"/>
                <w:color w:val="000000"/>
                <w:szCs w:val="21"/>
                <w:highlight w:val="none"/>
                <w:lang w:val="en-US" w:eastAsia="zh-CN"/>
              </w:rPr>
              <w:t>管理</w:t>
            </w:r>
            <w:r>
              <w:rPr>
                <w:rFonts w:hint="eastAsia"/>
                <w:color w:val="000000"/>
                <w:szCs w:val="21"/>
                <w:highlight w:val="none"/>
              </w:rPr>
              <w:t>目标及其实现的策划</w:t>
            </w:r>
          </w:p>
          <w:p>
            <w:pPr>
              <w:rPr>
                <w:highlight w:val="none"/>
              </w:rPr>
            </w:pPr>
          </w:p>
        </w:tc>
        <w:tc>
          <w:tcPr>
            <w:tcW w:w="1216" w:type="dxa"/>
            <w:vMerge w:val="restart"/>
            <w:shd w:val="clear" w:color="auto" w:fill="auto"/>
          </w:tcPr>
          <w:p>
            <w:pPr>
              <w:rPr>
                <w:rFonts w:hint="eastAsia"/>
              </w:rPr>
            </w:pPr>
            <w:r>
              <w:rPr>
                <w:rFonts w:hint="eastAsia"/>
                <w:lang w:val="en-US" w:eastAsia="zh-CN"/>
              </w:rPr>
              <w:t>En</w:t>
            </w:r>
            <w:r>
              <w:rPr>
                <w:rFonts w:hint="eastAsia"/>
              </w:rPr>
              <w:t>6.2</w:t>
            </w:r>
          </w:p>
          <w:p>
            <w:pPr>
              <w:pStyle w:val="21"/>
              <w:rPr>
                <w:rFonts w:hint="eastAsia"/>
                <w:color w:val="000000"/>
                <w:szCs w:val="21"/>
                <w:highlight w:val="none"/>
                <w:lang w:val="en-US" w:eastAsia="zh-CN"/>
              </w:rPr>
            </w:pPr>
          </w:p>
          <w:p>
            <w:pPr>
              <w:pStyle w:val="21"/>
              <w:rPr>
                <w:rFonts w:hint="default"/>
                <w:color w:val="000000"/>
                <w:szCs w:val="21"/>
                <w:highlight w:val="none"/>
                <w:lang w:val="en-US" w:eastAsia="zh-CN"/>
              </w:rPr>
            </w:pP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highlight w:val="none"/>
              </w:rPr>
              <w:sym w:font="Wingdings" w:char="00FE"/>
            </w:r>
            <w:r>
              <w:rPr>
                <w:rFonts w:hint="eastAsia"/>
                <w:highlight w:val="none"/>
              </w:rPr>
              <w:t>手册第6.2章、</w:t>
            </w:r>
            <w:r>
              <w:rPr>
                <w:highlight w:val="none"/>
              </w:rPr>
              <w:sym w:font="Wingdings" w:char="00FE"/>
            </w:r>
            <w:r>
              <w:rPr>
                <w:rFonts w:hint="eastAsia"/>
                <w:highlight w:val="none"/>
              </w:rPr>
              <w:t>《目标</w:t>
            </w:r>
            <w:r>
              <w:rPr>
                <w:rFonts w:hint="eastAsia"/>
                <w:highlight w:val="none"/>
                <w:lang w:eastAsia="zh-CN"/>
              </w:rPr>
              <w:t>、</w:t>
            </w:r>
            <w:r>
              <w:rPr>
                <w:rFonts w:hint="eastAsia"/>
                <w:highlight w:val="none"/>
                <w:lang w:val="en-US" w:eastAsia="zh-CN"/>
              </w:rPr>
              <w:t>指标的制定控制程序</w:t>
            </w:r>
            <w:r>
              <w:rPr>
                <w:rFonts w:hint="eastAsia"/>
                <w:highlight w:val="none"/>
              </w:rPr>
              <w:t>》</w:t>
            </w:r>
          </w:p>
        </w:tc>
        <w:tc>
          <w:tcPr>
            <w:tcW w:w="1293" w:type="dxa"/>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226"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rPr>
                <w:rFonts w:hint="eastAsia"/>
              </w:rPr>
            </w:pPr>
            <w:r>
              <w:rPr>
                <w:rFonts w:hint="eastAsia"/>
              </w:rPr>
              <w:t>组织建立了与方针一致的文件化的管理目标。为实现总的</w:t>
            </w:r>
            <w:r>
              <w:rPr>
                <w:rFonts w:hint="eastAsia"/>
                <w:lang w:val="en-US" w:eastAsia="zh-CN"/>
              </w:rPr>
              <w:t>管理</w:t>
            </w:r>
            <w:r>
              <w:rPr>
                <w:rFonts w:hint="eastAsia"/>
              </w:rPr>
              <w:t>目标而建立的各层级</w:t>
            </w:r>
            <w:r>
              <w:rPr>
                <w:rFonts w:hint="eastAsia"/>
                <w:lang w:val="en-US" w:eastAsia="zh-CN"/>
              </w:rPr>
              <w:t>的</w:t>
            </w:r>
            <w:r>
              <w:rPr>
                <w:rFonts w:hint="eastAsia"/>
              </w:rPr>
              <w:t>目标</w:t>
            </w:r>
            <w:r>
              <w:rPr>
                <w:rFonts w:hint="eastAsia"/>
                <w:lang w:eastAsia="zh-CN"/>
              </w:rPr>
              <w:t>，</w:t>
            </w:r>
            <w:r>
              <w:rPr>
                <w:rFonts w:hint="eastAsia"/>
              </w:rPr>
              <w:t>具体、有针对性、可测量并且可实现。</w:t>
            </w:r>
          </w:p>
          <w:p>
            <w:r>
              <w:rPr>
                <w:rFonts w:hint="eastAsia"/>
              </w:rPr>
              <w:t>总</w:t>
            </w:r>
            <w:r>
              <w:rPr>
                <w:rFonts w:hint="eastAsia"/>
                <w:lang w:val="en-US" w:eastAsia="zh-CN"/>
              </w:rPr>
              <w:t>管理</w:t>
            </w:r>
            <w:r>
              <w:rPr>
                <w:rFonts w:hint="eastAsia"/>
              </w:rPr>
              <w:t>目标</w:t>
            </w:r>
            <w:r>
              <w:rPr>
                <w:rFonts w:hint="eastAsia"/>
                <w:lang w:val="en-US" w:eastAsia="zh-CN"/>
              </w:rPr>
              <w:t>的</w:t>
            </w:r>
            <w:r>
              <w:rPr>
                <w:rFonts w:hint="eastAsia"/>
              </w:rPr>
              <w:t>实现情况的评价，及其测量方法是：</w:t>
            </w:r>
          </w:p>
          <w:tbl>
            <w:tblPr>
              <w:tblStyle w:val="19"/>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1109"/>
              <w:gridCol w:w="2118"/>
              <w:gridCol w:w="1462"/>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345" w:type="dxa"/>
                  <w:shd w:val="clear" w:color="auto" w:fill="auto"/>
                </w:tcPr>
                <w:p>
                  <w:pPr>
                    <w:widowControl/>
                    <w:spacing w:before="40"/>
                    <w:jc w:val="left"/>
                    <w:rPr>
                      <w:rFonts w:hint="default" w:eastAsia="宋体"/>
                      <w:lang w:val="en-US" w:eastAsia="zh-CN"/>
                    </w:rPr>
                  </w:pPr>
                  <w:r>
                    <w:rPr>
                      <w:rFonts w:hint="eastAsia"/>
                      <w:lang w:val="en-US" w:eastAsia="zh-CN"/>
                    </w:rPr>
                    <w:t>能源</w:t>
                  </w:r>
                  <w:r>
                    <w:rPr>
                      <w:rFonts w:hint="eastAsia"/>
                    </w:rPr>
                    <w:t>目标</w:t>
                  </w:r>
                  <w:r>
                    <w:rPr>
                      <w:rFonts w:hint="eastAsia"/>
                      <w:lang w:val="en-US" w:eastAsia="zh-CN"/>
                    </w:rPr>
                    <w:t>2022年指标</w:t>
                  </w:r>
                </w:p>
              </w:tc>
              <w:tc>
                <w:tcPr>
                  <w:tcW w:w="1109" w:type="dxa"/>
                  <w:shd w:val="clear" w:color="auto" w:fill="auto"/>
                </w:tcPr>
                <w:p>
                  <w:pPr>
                    <w:widowControl/>
                    <w:spacing w:before="40"/>
                    <w:jc w:val="left"/>
                  </w:pPr>
                  <w:r>
                    <w:rPr>
                      <w:rFonts w:hint="eastAsia"/>
                    </w:rPr>
                    <w:t>考核频次</w:t>
                  </w:r>
                </w:p>
              </w:tc>
              <w:tc>
                <w:tcPr>
                  <w:tcW w:w="2118" w:type="dxa"/>
                  <w:shd w:val="clear" w:color="auto" w:fill="auto"/>
                </w:tcPr>
                <w:p>
                  <w:pPr>
                    <w:widowControl/>
                    <w:spacing w:before="40"/>
                    <w:jc w:val="left"/>
                    <w:rPr>
                      <w:rFonts w:hint="default"/>
                      <w:lang w:val="en-US" w:eastAsia="zh-CN"/>
                    </w:rPr>
                  </w:pPr>
                  <w:r>
                    <w:rPr>
                      <w:rFonts w:hint="eastAsia"/>
                    </w:rPr>
                    <w:t>计算方法</w:t>
                  </w:r>
                  <w:r>
                    <w:rPr>
                      <w:rFonts w:hint="eastAsia"/>
                      <w:lang w:val="en-US" w:eastAsia="zh-CN"/>
                    </w:rPr>
                    <w:t>/考核内容</w:t>
                  </w:r>
                </w:p>
              </w:tc>
              <w:tc>
                <w:tcPr>
                  <w:tcW w:w="1462" w:type="dxa"/>
                  <w:shd w:val="clear" w:color="auto" w:fill="auto"/>
                </w:tcPr>
                <w:p>
                  <w:pPr>
                    <w:widowControl/>
                    <w:spacing w:before="40"/>
                    <w:jc w:val="left"/>
                    <w:rPr>
                      <w:rFonts w:hint="eastAsia"/>
                      <w:lang w:val="en-US" w:eastAsia="zh-CN"/>
                    </w:rPr>
                  </w:pPr>
                  <w:r>
                    <w:rPr>
                      <w:rFonts w:hint="eastAsia"/>
                      <w:lang w:val="en-US" w:eastAsia="zh-CN"/>
                    </w:rPr>
                    <w:t>责任部门</w:t>
                  </w:r>
                </w:p>
              </w:tc>
              <w:tc>
                <w:tcPr>
                  <w:tcW w:w="2066" w:type="dxa"/>
                  <w:shd w:val="clear" w:color="auto" w:fill="auto"/>
                  <w:vAlign w:val="top"/>
                </w:tcPr>
                <w:p>
                  <w:pPr>
                    <w:widowControl/>
                    <w:spacing w:before="40"/>
                    <w:jc w:val="left"/>
                    <w:rPr>
                      <w:rFonts w:hint="eastAsia"/>
                      <w:lang w:val="en-US" w:eastAsia="zh-CN"/>
                    </w:rPr>
                  </w:pPr>
                  <w:r>
                    <w:rPr>
                      <w:rFonts w:hint="eastAsia"/>
                    </w:rPr>
                    <w:t>完成情况（20</w:t>
                  </w:r>
                  <w:r>
                    <w:rPr>
                      <w:rFonts w:hint="eastAsia"/>
                      <w:lang w:val="en-US" w:eastAsia="zh-CN"/>
                    </w:rPr>
                    <w:t>22年</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345" w:type="dxa"/>
                  <w:shd w:val="clear" w:color="auto" w:fill="auto"/>
                  <w:vAlign w:val="center"/>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rPr>
                    <w:t>公司节约用电</w:t>
                  </w:r>
                </w:p>
              </w:tc>
              <w:tc>
                <w:tcPr>
                  <w:tcW w:w="1109" w:type="dxa"/>
                  <w:shd w:val="clear" w:color="auto" w:fill="auto"/>
                  <w:vAlign w:val="center"/>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每年</w:t>
                  </w:r>
                </w:p>
              </w:tc>
              <w:tc>
                <w:tcPr>
                  <w:tcW w:w="2118" w:type="dxa"/>
                  <w:shd w:val="clear" w:color="auto" w:fill="auto"/>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日常检查</w:t>
                  </w:r>
                </w:p>
              </w:tc>
              <w:tc>
                <w:tcPr>
                  <w:tcW w:w="1462" w:type="dxa"/>
                  <w:shd w:val="clear" w:color="auto" w:fill="auto"/>
                  <w:vAlign w:val="center"/>
                </w:tcPr>
                <w:p>
                  <w:pPr>
                    <w:rPr>
                      <w:rFonts w:hint="eastAsia" w:ascii="Times New Roman" w:hAnsi="Times New Roman" w:eastAsia="宋体" w:cs="Times New Roman"/>
                      <w:szCs w:val="22"/>
                      <w:lang w:val="en-US" w:eastAsia="zh-CN"/>
                    </w:rPr>
                  </w:pPr>
                  <w:r>
                    <w:rPr>
                      <w:rFonts w:hint="eastAsia" w:cs="Times New Roman"/>
                      <w:szCs w:val="22"/>
                      <w:lang w:val="en-US" w:eastAsia="zh-CN"/>
                    </w:rPr>
                    <w:t>节能减排股</w:t>
                  </w:r>
                </w:p>
              </w:tc>
              <w:tc>
                <w:tcPr>
                  <w:tcW w:w="2066" w:type="dxa"/>
                  <w:shd w:val="clear" w:color="auto" w:fill="auto"/>
                  <w:vAlign w:val="center"/>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日常检查无问题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0000FF"/>
                      <w:kern w:val="2"/>
                      <w:sz w:val="21"/>
                      <w:szCs w:val="22"/>
                      <w:lang w:val="en-US" w:eastAsia="zh-CN" w:bidi="ar-SA"/>
                    </w:rPr>
                  </w:pPr>
                </w:p>
              </w:tc>
              <w:tc>
                <w:tcPr>
                  <w:tcW w:w="11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0000FF"/>
                      <w:kern w:val="2"/>
                      <w:sz w:val="21"/>
                      <w:szCs w:val="22"/>
                      <w:lang w:val="en-US" w:eastAsia="zh-CN" w:bidi="ar-SA"/>
                    </w:rPr>
                  </w:pPr>
                </w:p>
              </w:tc>
              <w:tc>
                <w:tcPr>
                  <w:tcW w:w="2118"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0000FF"/>
                      <w:kern w:val="2"/>
                      <w:sz w:val="21"/>
                      <w:szCs w:val="22"/>
                      <w:lang w:val="en-US" w:eastAsia="zh-CN" w:bidi="ar-SA"/>
                    </w:rPr>
                  </w:pPr>
                </w:p>
              </w:tc>
              <w:tc>
                <w:tcPr>
                  <w:tcW w:w="14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s="Times New Roman"/>
                      <w:color w:val="0000FF"/>
                      <w:kern w:val="2"/>
                      <w:sz w:val="21"/>
                      <w:szCs w:val="22"/>
                      <w:lang w:val="en-US" w:eastAsia="zh-CN" w:bidi="ar-SA"/>
                    </w:rPr>
                  </w:pPr>
                </w:p>
              </w:tc>
              <w:tc>
                <w:tcPr>
                  <w:tcW w:w="206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0000FF"/>
                      <w:kern w:val="2"/>
                      <w:sz w:val="21"/>
                      <w:szCs w:val="22"/>
                      <w:lang w:val="en-US" w:eastAsia="zh-CN" w:bidi="ar-SA"/>
                    </w:rPr>
                  </w:pPr>
                </w:p>
              </w:tc>
            </w:tr>
          </w:tbl>
          <w:p>
            <w:pPr>
              <w:rPr>
                <w:rFonts w:hint="eastAsia"/>
                <w:lang w:val="en-US" w:eastAsia="zh-CN"/>
              </w:rPr>
            </w:pPr>
            <w:r>
              <w:fldChar w:fldCharType="begin"/>
            </w:r>
            <w:r>
              <w:instrText xml:space="preserve"> </w:instrText>
            </w:r>
            <w:r>
              <w:rPr>
                <w:rFonts w:hint="eastAsia"/>
              </w:rPr>
              <w:instrText xml:space="preserve">eq \o\ac(□,√)</w:instrText>
            </w:r>
            <w:r>
              <w:fldChar w:fldCharType="end"/>
            </w:r>
            <w:r>
              <w:rPr>
                <w:rFonts w:hint="eastAsia"/>
                <w:lang w:val="en-US" w:eastAsia="zh-CN"/>
              </w:rPr>
              <w:t>2022年</w:t>
            </w:r>
            <w:r>
              <w:rPr>
                <w:rFonts w:hint="eastAsia"/>
              </w:rPr>
              <w:t>目标已实现</w:t>
            </w:r>
            <w:r>
              <w:rPr>
                <w:rFonts w:hint="eastAsia"/>
                <w:lang w:eastAsia="zh-CN"/>
              </w:rPr>
              <w:t>。</w:t>
            </w:r>
          </w:p>
          <w:p>
            <w:pPr>
              <w:rPr>
                <w:rFonts w:hint="eastAsia" w:ascii="Times New Roman" w:hAnsi="Times New Roman" w:eastAsia="宋体" w:cs="Times New Roman"/>
                <w:color w:val="FF0000"/>
                <w:spacing w:val="0"/>
                <w:kern w:val="2"/>
                <w:sz w:val="21"/>
                <w:szCs w:val="22"/>
                <w:highlight w:val="none"/>
                <w:lang w:val="en-US" w:eastAsia="zh-CN" w:bidi="ar-SA"/>
              </w:rPr>
            </w:pPr>
            <w:r>
              <w:rPr>
                <w:rFonts w:hint="eastAsia"/>
              </w:rPr>
              <w:sym w:font="Wingdings" w:char="00A8"/>
            </w:r>
            <w:r>
              <w:rPr>
                <w:rFonts w:hint="eastAsia"/>
              </w:rPr>
              <w:t>目标没有实现的，组织在内部及时进行原因分析并采取了改进措施。</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26" w:type="dxa"/>
            <w:vMerge w:val="restart"/>
          </w:tcPr>
          <w:p>
            <w:pPr>
              <w:rPr>
                <w:rFonts w:hint="default" w:eastAsia="宋体"/>
                <w:lang w:val="en-US" w:eastAsia="zh-CN"/>
              </w:rPr>
            </w:pPr>
            <w:r>
              <w:rPr>
                <w:rFonts w:hint="eastAsia"/>
                <w:lang w:val="en-US" w:eastAsia="zh-CN"/>
              </w:rPr>
              <w:t>运行控制、不符合整改</w:t>
            </w:r>
          </w:p>
        </w:tc>
        <w:tc>
          <w:tcPr>
            <w:tcW w:w="1216" w:type="dxa"/>
            <w:vMerge w:val="restart"/>
          </w:tcPr>
          <w:p>
            <w:pPr>
              <w:rPr>
                <w:rFonts w:hint="default"/>
                <w:lang w:val="en-US" w:eastAsia="zh-CN"/>
              </w:rPr>
            </w:pPr>
            <w:r>
              <w:rPr>
                <w:rFonts w:hint="eastAsia"/>
                <w:lang w:val="en-US" w:eastAsia="zh-CN"/>
              </w:rPr>
              <w:t>En8.1/10.1</w:t>
            </w:r>
          </w:p>
          <w:p>
            <w:pPr>
              <w:rPr>
                <w:rFonts w:hint="default"/>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766" w:type="dxa"/>
            <w:vAlign w:val="top"/>
          </w:tcPr>
          <w:p>
            <w:pPr>
              <w:rPr>
                <w:rFonts w:hint="default" w:ascii="Times New Roman" w:hAnsi="Times New Roman" w:eastAsia="宋体" w:cs="Times New Roman"/>
                <w:kern w:val="2"/>
                <w:sz w:val="21"/>
                <w:lang w:val="en-US" w:eastAsia="zh-CN" w:bidi="ar-SA"/>
              </w:rPr>
            </w:pPr>
            <w:r>
              <w:rPr>
                <w:rFonts w:hint="eastAsia"/>
              </w:rPr>
              <w:t>如</w:t>
            </w:r>
            <w:r>
              <w:rPr>
                <w:rFonts w:hint="eastAsia"/>
                <w:lang w:eastAsia="zh-CN"/>
              </w:rPr>
              <w:t>：</w:t>
            </w:r>
            <w:r>
              <w:rPr>
                <w:color w:val="auto"/>
                <w:highlight w:val="none"/>
              </w:rPr>
              <w:sym w:font="Wingdings" w:char="00FE"/>
            </w:r>
            <w:r>
              <w:rPr>
                <w:rFonts w:hint="eastAsia"/>
                <w:lang w:val="en-US" w:eastAsia="zh-CN"/>
              </w:rPr>
              <w:t>手册8.1条款，</w:t>
            </w:r>
            <w:r>
              <w:rPr>
                <w:color w:val="auto"/>
                <w:highlight w:val="none"/>
              </w:rPr>
              <w:sym w:font="Wingdings" w:char="00FE"/>
            </w:r>
            <w:r>
              <w:rPr>
                <w:rFonts w:hint="eastAsia"/>
              </w:rPr>
              <w:t>《</w:t>
            </w:r>
            <w:r>
              <w:rPr>
                <w:rFonts w:hint="eastAsia"/>
                <w:lang w:val="en-US" w:eastAsia="zh-CN"/>
              </w:rPr>
              <w:t>运行</w:t>
            </w:r>
            <w:r>
              <w:rPr>
                <w:rFonts w:hint="eastAsia"/>
              </w:rPr>
              <w:t>控制程序》</w:t>
            </w:r>
            <w:r>
              <w:rPr>
                <w:color w:val="auto"/>
                <w:highlight w:val="none"/>
              </w:rPr>
              <w:sym w:font="Wingdings" w:char="00FE"/>
            </w:r>
            <w:r>
              <w:rPr>
                <w:rFonts w:hint="eastAsia"/>
                <w:highlight w:val="none"/>
              </w:rPr>
              <w:t>《</w:t>
            </w:r>
            <w:r>
              <w:rPr>
                <w:rFonts w:hint="eastAsia" w:ascii="Times New Roman" w:hAnsi="Times New Roman" w:eastAsia="宋体" w:cs="Times New Roman"/>
                <w:szCs w:val="22"/>
                <w:highlight w:val="none"/>
                <w:lang w:val="en-US" w:eastAsia="zh-CN"/>
              </w:rPr>
              <w:t>不符合、纠正、改进措施程序</w:t>
            </w:r>
            <w:r>
              <w:rPr>
                <w:rFonts w:hint="eastAsia"/>
                <w:highlight w:val="none"/>
              </w:rPr>
              <w:t>》</w:t>
            </w:r>
          </w:p>
        </w:tc>
        <w:tc>
          <w:tcPr>
            <w:tcW w:w="12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226" w:type="dxa"/>
            <w:vMerge w:val="continue"/>
          </w:tcPr>
          <w:p>
            <w:pPr>
              <w:rPr>
                <w:rFonts w:hint="default" w:eastAsia="宋体"/>
                <w:lang w:val="en-US" w:eastAsia="zh-CN"/>
              </w:rPr>
            </w:pPr>
          </w:p>
        </w:tc>
        <w:tc>
          <w:tcPr>
            <w:tcW w:w="1216" w:type="dxa"/>
            <w:vMerge w:val="continue"/>
          </w:tcPr>
          <w:p>
            <w:pPr>
              <w:pStyle w:val="21"/>
              <w:rPr>
                <w:rFonts w:hint="default"/>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color w:val="auto"/>
                <w:lang w:val="en-US" w:eastAsia="zh-CN"/>
              </w:rPr>
              <w:t>运行证据</w:t>
            </w:r>
          </w:p>
        </w:tc>
        <w:tc>
          <w:tcPr>
            <w:tcW w:w="9766" w:type="dxa"/>
            <w:vAlign w:val="top"/>
          </w:tcPr>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vertAlign w:val="baseline"/>
                <w:lang w:val="en-US" w:eastAsia="zh-CN"/>
              </w:rPr>
            </w:pPr>
            <w:r>
              <w:rPr>
                <w:rFonts w:hint="eastAsia"/>
                <w:vertAlign w:val="baseline"/>
                <w:lang w:val="en-US" w:eastAsia="zh-CN"/>
              </w:rPr>
              <w:t>1.节约用电的控制：</w:t>
            </w:r>
            <w:r>
              <w:rPr>
                <w:rFonts w:hint="eastAsia"/>
                <w:vertAlign w:val="baseline"/>
                <w:lang w:val="en-US" w:eastAsia="zh-CN"/>
              </w:rPr>
              <w:sym w:font="Wingdings" w:char="00FE"/>
            </w:r>
            <w:r>
              <w:rPr>
                <w:rFonts w:hint="eastAsia"/>
                <w:vertAlign w:val="baseline"/>
                <w:lang w:val="en-US" w:eastAsia="zh-CN"/>
              </w:rPr>
              <w:t>随手关灯、</w:t>
            </w:r>
            <w:r>
              <w:rPr>
                <w:rFonts w:hint="eastAsia"/>
                <w:vertAlign w:val="baseline"/>
                <w:lang w:val="en-US" w:eastAsia="zh-CN"/>
              </w:rPr>
              <w:sym w:font="Wingdings" w:char="00FE"/>
            </w:r>
            <w:r>
              <w:rPr>
                <w:rFonts w:hint="eastAsia"/>
                <w:vertAlign w:val="baseline"/>
                <w:lang w:val="en-US" w:eastAsia="zh-CN"/>
              </w:rPr>
              <w:t>下班前关闭电源、</w:t>
            </w:r>
            <w:r>
              <w:rPr>
                <w:rFonts w:hint="eastAsia"/>
                <w:vertAlign w:val="baseline"/>
                <w:lang w:val="en-US" w:eastAsia="zh-CN"/>
              </w:rPr>
              <w:sym w:font="Wingdings" w:char="00FE"/>
            </w:r>
            <w:r>
              <w:rPr>
                <w:rFonts w:hint="eastAsia"/>
                <w:vertAlign w:val="baseline"/>
                <w:lang w:val="en-US" w:eastAsia="zh-CN"/>
              </w:rPr>
              <w:t>控制空调温度（夏季≥26℃；冬季≤20℃）</w:t>
            </w:r>
          </w:p>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vertAlign w:val="baseline"/>
                <w:lang w:val="en-US" w:eastAsia="zh-CN"/>
              </w:rPr>
            </w:pPr>
            <w:r>
              <w:rPr>
                <w:rFonts w:hint="eastAsia"/>
                <w:vertAlign w:val="baseline"/>
                <w:lang w:val="en-US" w:eastAsia="zh-CN"/>
              </w:rPr>
              <w:t>2.节约用水的控制：</w:t>
            </w:r>
            <w:r>
              <w:rPr>
                <w:rFonts w:hint="eastAsia"/>
                <w:vertAlign w:val="baseline"/>
                <w:lang w:val="en-US" w:eastAsia="zh-CN"/>
              </w:rPr>
              <w:sym w:font="Wingdings" w:char="00FE"/>
            </w:r>
            <w:r>
              <w:rPr>
                <w:rFonts w:hint="eastAsia"/>
                <w:vertAlign w:val="baseline"/>
                <w:lang w:val="en-US" w:eastAsia="zh-CN"/>
              </w:rPr>
              <w:t xml:space="preserve">随手关水龙头  </w:t>
            </w:r>
            <w:r>
              <w:rPr>
                <w:rFonts w:hint="eastAsia"/>
                <w:vertAlign w:val="baseline"/>
                <w:lang w:val="en-US" w:eastAsia="zh-CN"/>
              </w:rPr>
              <w:sym w:font="Wingdings" w:char="00FE"/>
            </w:r>
            <w:r>
              <w:rPr>
                <w:rFonts w:hint="eastAsia"/>
                <w:vertAlign w:val="baseline"/>
                <w:lang w:val="en-US" w:eastAsia="zh-CN"/>
              </w:rPr>
              <w:t>使用节水龙头及马桶</w:t>
            </w:r>
          </w:p>
          <w:p>
            <w:pPr>
              <w:pStyle w:val="2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spacing w:val="10"/>
                <w:kern w:val="2"/>
                <w:sz w:val="21"/>
                <w:vertAlign w:val="baseline"/>
                <w:lang w:val="en-US" w:eastAsia="zh-CN" w:bidi="ar-SA"/>
              </w:rPr>
            </w:pPr>
            <w:r>
              <w:rPr>
                <w:rFonts w:hint="eastAsia"/>
                <w:vertAlign w:val="baseline"/>
                <w:lang w:val="en-US" w:eastAsia="zh-CN"/>
              </w:rPr>
              <w:t>3.节约用纸的控制：</w:t>
            </w:r>
            <w:r>
              <w:rPr>
                <w:rFonts w:hint="eastAsia"/>
                <w:vertAlign w:val="baseline"/>
                <w:lang w:val="en-US" w:eastAsia="zh-CN"/>
              </w:rPr>
              <w:sym w:font="Wingdings" w:char="00FE"/>
            </w:r>
            <w:r>
              <w:rPr>
                <w:rFonts w:hint="eastAsia"/>
                <w:vertAlign w:val="baseline"/>
                <w:lang w:val="en-US" w:eastAsia="zh-CN"/>
              </w:rPr>
              <w:t xml:space="preserve">纸张双面使用  </w:t>
            </w:r>
            <w:r>
              <w:rPr>
                <w:rFonts w:hint="eastAsia"/>
                <w:vertAlign w:val="baseline"/>
                <w:lang w:val="en-US" w:eastAsia="zh-CN"/>
              </w:rPr>
              <w:sym w:font="Wingdings" w:char="00FE"/>
            </w:r>
            <w:r>
              <w:rPr>
                <w:rFonts w:hint="eastAsia"/>
                <w:vertAlign w:val="baseline"/>
                <w:lang w:val="en-US" w:eastAsia="zh-CN"/>
              </w:rPr>
              <w:t>尽量采用电子版文件</w:t>
            </w:r>
          </w:p>
        </w:tc>
        <w:tc>
          <w:tcPr>
            <w:tcW w:w="1293" w:type="dxa"/>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226" w:type="dxa"/>
            <w:vMerge w:val="continue"/>
          </w:tcPr>
          <w:p>
            <w:pPr>
              <w:rPr>
                <w:rFonts w:hint="eastAsia"/>
                <w:lang w:val="en-US" w:eastAsia="zh-CN"/>
              </w:rPr>
            </w:pPr>
          </w:p>
        </w:tc>
        <w:tc>
          <w:tcPr>
            <w:tcW w:w="1216" w:type="dxa"/>
            <w:vMerge w:val="continue"/>
          </w:tcPr>
          <w:p>
            <w:pPr>
              <w:pStyle w:val="21"/>
              <w:rPr>
                <w:rFonts w:hint="eastAsia"/>
                <w:lang w:val="en-US" w:eastAsia="zh-CN"/>
              </w:rPr>
            </w:pPr>
          </w:p>
        </w:tc>
        <w:tc>
          <w:tcPr>
            <w:tcW w:w="716" w:type="dxa"/>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9766" w:type="dxa"/>
            <w:vAlign w:val="top"/>
          </w:tcPr>
          <w:p>
            <w:pPr>
              <w:pStyle w:val="5"/>
              <w:ind w:left="0" w:leftChars="0" w:firstLine="0" w:firstLineChars="0"/>
              <w:rPr>
                <w:rFonts w:hint="eastAsia"/>
                <w:lang w:val="en-US" w:eastAsia="zh-CN"/>
              </w:rPr>
            </w:pPr>
            <w:r>
              <w:rPr>
                <w:rFonts w:hint="eastAsia"/>
                <w:lang w:val="en-US" w:eastAsia="zh-CN"/>
              </w:rPr>
              <w:t>提供接待方案：</w:t>
            </w:r>
          </w:p>
          <w:p>
            <w:pPr>
              <w:pStyle w:val="5"/>
              <w:ind w:left="0" w:leftChars="0" w:firstLine="0" w:firstLineChars="0"/>
              <w:rPr>
                <w:rFonts w:hint="eastAsia" w:eastAsia="宋体"/>
                <w:highlight w:val="yellow"/>
                <w:lang w:val="en-US" w:eastAsia="zh-CN"/>
              </w:rPr>
            </w:pPr>
            <w:r>
              <w:drawing>
                <wp:inline distT="0" distB="0" distL="114300" distR="114300">
                  <wp:extent cx="1492885" cy="1842135"/>
                  <wp:effectExtent l="0" t="0" r="5715" b="1206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0"/>
                          <a:stretch>
                            <a:fillRect/>
                          </a:stretch>
                        </pic:blipFill>
                        <pic:spPr>
                          <a:xfrm>
                            <a:off x="0" y="0"/>
                            <a:ext cx="1492885" cy="1842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2900" cy="1880235"/>
                  <wp:effectExtent l="0" t="0" r="0" b="1206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1"/>
                          <a:stretch>
                            <a:fillRect/>
                          </a:stretch>
                        </pic:blipFill>
                        <pic:spPr>
                          <a:xfrm>
                            <a:off x="0" y="0"/>
                            <a:ext cx="1612900" cy="1880235"/>
                          </a:xfrm>
                          <a:prstGeom prst="rect">
                            <a:avLst/>
                          </a:prstGeom>
                          <a:noFill/>
                          <a:ln>
                            <a:noFill/>
                          </a:ln>
                        </pic:spPr>
                      </pic:pic>
                    </a:graphicData>
                  </a:graphic>
                </wp:inline>
              </w:drawing>
            </w:r>
            <w:r>
              <w:drawing>
                <wp:inline distT="0" distB="0" distL="114300" distR="114300">
                  <wp:extent cx="1581785" cy="1740535"/>
                  <wp:effectExtent l="0" t="0" r="5715" b="1206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2"/>
                          <a:stretch>
                            <a:fillRect/>
                          </a:stretch>
                        </pic:blipFill>
                        <pic:spPr>
                          <a:xfrm>
                            <a:off x="0" y="0"/>
                            <a:ext cx="1581785" cy="1740535"/>
                          </a:xfrm>
                          <a:prstGeom prst="rect">
                            <a:avLst/>
                          </a:prstGeom>
                          <a:noFill/>
                          <a:ln>
                            <a:noFill/>
                          </a:ln>
                        </pic:spPr>
                      </pic:pic>
                    </a:graphicData>
                  </a:graphic>
                </wp:inline>
              </w:drawing>
            </w:r>
          </w:p>
          <w:p>
            <w:pPr>
              <w:rPr>
                <w:rFonts w:hint="eastAsia" w:eastAsia="宋体"/>
                <w:lang w:val="en-US" w:eastAsia="zh-CN"/>
              </w:rPr>
            </w:pPr>
            <w:r>
              <w:rPr>
                <w:rFonts w:hint="eastAsia"/>
                <w:lang w:val="en-US" w:eastAsia="zh-CN"/>
              </w:rPr>
              <w:t xml:space="preserve">  </w:t>
            </w:r>
          </w:p>
          <w:p>
            <w:pPr>
              <w:rPr>
                <w:rFonts w:hint="eastAsia"/>
                <w:lang w:val="en-US" w:eastAsia="zh-CN"/>
              </w:rPr>
            </w:pPr>
            <w:r>
              <w:drawing>
                <wp:inline distT="0" distB="0" distL="114300" distR="114300">
                  <wp:extent cx="1487170" cy="1868170"/>
                  <wp:effectExtent l="0" t="0" r="11430" b="1143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3"/>
                          <a:stretch>
                            <a:fillRect/>
                          </a:stretch>
                        </pic:blipFill>
                        <pic:spPr>
                          <a:xfrm>
                            <a:off x="0" y="0"/>
                            <a:ext cx="1487170" cy="18681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06550" cy="1886585"/>
                  <wp:effectExtent l="0" t="0" r="6350" b="571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4"/>
                          <a:stretch>
                            <a:fillRect/>
                          </a:stretch>
                        </pic:blipFill>
                        <pic:spPr>
                          <a:xfrm>
                            <a:off x="0" y="0"/>
                            <a:ext cx="1606550" cy="1886585"/>
                          </a:xfrm>
                          <a:prstGeom prst="rect">
                            <a:avLst/>
                          </a:prstGeom>
                          <a:noFill/>
                          <a:ln>
                            <a:noFill/>
                          </a:ln>
                        </pic:spPr>
                      </pic:pic>
                    </a:graphicData>
                  </a:graphic>
                </wp:inline>
              </w:drawing>
            </w:r>
            <w:r>
              <w:rPr>
                <w:rFonts w:hint="eastAsia"/>
                <w:lang w:val="en-US" w:eastAsia="zh-CN"/>
              </w:rPr>
              <w:t xml:space="preserve"> </w:t>
            </w:r>
          </w:p>
          <w:p>
            <w:pPr>
              <w:pStyle w:val="2"/>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不符合的来源：</w:t>
            </w:r>
          </w:p>
          <w:p>
            <w:pPr>
              <w:rPr>
                <w:rFonts w:hint="default"/>
                <w:lang w:val="en-US" w:eastAsia="zh-CN"/>
              </w:rPr>
            </w:pPr>
            <w:r>
              <w:rPr>
                <w:rFonts w:hint="eastAsia"/>
                <w:lang w:val="en-US" w:eastAsia="zh-CN"/>
              </w:rPr>
              <w:t xml:space="preserve"> </w:t>
            </w:r>
            <w:r>
              <w:rPr>
                <w:rFonts w:hint="eastAsia"/>
                <w:lang w:val="en-US" w:eastAsia="zh-CN"/>
              </w:rPr>
              <w:sym w:font="Wingdings" w:char="00FE"/>
            </w:r>
            <w:r>
              <w:rPr>
                <w:rFonts w:hint="eastAsia"/>
                <w:lang w:val="en-US" w:eastAsia="zh-CN"/>
              </w:rPr>
              <w:t>工作运行中发现的问题 ——日常控制中的发现的问题及时整改。见检查记录及整改</w:t>
            </w:r>
          </w:p>
          <w:p>
            <w:pPr>
              <w:rPr>
                <w:rFonts w:hint="eastAsia" w:ascii="Times New Roman" w:hAnsi="Times New Roman" w:eastAsia="宋体" w:cs="Times New Roman"/>
                <w:szCs w:val="22"/>
                <w:lang w:val="en-US" w:eastAsia="zh-CN"/>
              </w:rPr>
            </w:pPr>
            <w:r>
              <w:rPr>
                <w:rFonts w:hint="eastAsia"/>
                <w:lang w:val="en-US" w:eastAsia="zh-CN"/>
              </w:rPr>
              <w:t xml:space="preserve"> </w:t>
            </w:r>
            <w:r>
              <w:rPr>
                <w:rFonts w:hint="eastAsia"/>
                <w:lang w:val="en-US" w:eastAsia="zh-CN"/>
              </w:rPr>
              <w:sym w:font="Wingdings" w:char="00FE"/>
            </w:r>
            <w:r>
              <w:rPr>
                <w:rFonts w:hint="eastAsia"/>
                <w:lang w:val="en-US" w:eastAsia="zh-CN"/>
              </w:rPr>
              <w:t>内审——2022年11月份中心组织的能源管理体系内审和12月份的管理评审</w:t>
            </w:r>
            <w:r>
              <w:rPr>
                <w:rFonts w:hint="eastAsia" w:ascii="Times New Roman" w:hAnsi="Times New Roman" w:eastAsia="宋体" w:cs="Times New Roman"/>
                <w:szCs w:val="22"/>
                <w:lang w:val="en-US" w:eastAsia="zh-CN"/>
              </w:rPr>
              <w:t>中公务接待一股/ 公务接待二股 未发现不符合。</w:t>
            </w:r>
          </w:p>
          <w:p>
            <w:pPr>
              <w:pStyle w:val="6"/>
              <w:rPr>
                <w:rFonts w:hint="default"/>
                <w:lang w:val="en-US" w:eastAsia="zh-CN"/>
              </w:rPr>
            </w:pPr>
          </w:p>
        </w:tc>
        <w:tc>
          <w:tcPr>
            <w:tcW w:w="1293" w:type="dxa"/>
          </w:tcPr>
          <w:p>
            <w:pPr>
              <w:rPr>
                <w:highlight w:val="none"/>
              </w:rPr>
            </w:pPr>
            <w:r>
              <w:rPr>
                <w:highlight w:val="none"/>
              </w:rPr>
              <w:sym w:font="Wingdings" w:char="00FE"/>
            </w:r>
            <w:r>
              <w:rPr>
                <w:rFonts w:hint="eastAsia"/>
                <w:highlight w:val="none"/>
              </w:rPr>
              <w:t>符合</w:t>
            </w:r>
          </w:p>
          <w:p>
            <w:r>
              <w:rPr>
                <w:highlight w:val="none"/>
              </w:rPr>
              <w:sym w:font="Wingdings" w:char="00A8"/>
            </w:r>
            <w:r>
              <w:rPr>
                <w:rFonts w:hint="eastAsia"/>
                <w:highlight w:val="none"/>
              </w:rPr>
              <w:t>不符合</w:t>
            </w:r>
          </w:p>
        </w:tc>
      </w:tr>
    </w:tbl>
    <w:p>
      <w:pPr>
        <w:pStyle w:val="11"/>
        <w:rPr>
          <w:rFonts w:hint="eastAsia"/>
        </w:rPr>
      </w:pPr>
    </w:p>
    <w:p>
      <w:pPr>
        <w:pStyle w:val="11"/>
        <w:rPr>
          <w:rFonts w:hint="eastAsia"/>
        </w:rPr>
      </w:pPr>
      <w:r>
        <w:rPr>
          <w:rFonts w:hint="eastAsia"/>
        </w:rPr>
        <w:t>说明：不符合标注N</w:t>
      </w:r>
    </w:p>
    <w:p>
      <w:pPr>
        <w:pStyle w:val="16"/>
        <w:ind w:left="0" w:leftChars="0" w:firstLine="0" w:firstLineChars="0"/>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1"/>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left" w:pos="8910"/>
        <w:tab w:val="left" w:pos="9142"/>
        <w:tab w:val="clear" w:pos="4153"/>
      </w:tabs>
      <w:spacing w:line="320" w:lineRule="exact"/>
      <w:ind w:left="-86" w:leftChars="-41" w:firstLine="810" w:firstLineChars="450"/>
      <w:jc w:val="left"/>
      <w:rPr>
        <w:rStyle w:val="2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6350" b="2540"/>
              <wp:wrapNone/>
              <wp:docPr id="77"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JB+ETYAAAACwEAAA8AAAAAAAAAAQAgAAAAIgAAAGRycy9kb3du&#10;cmV2LnhtbFBLAQIUABQAAAAIAIdO4kDQaYkZxgEAAHsDAAAOAAAAAAAAAAEAIAAAACcBAABkcnMv&#10;ZTJvRG9jLnhtbFBLBQYAAAAABgAGAFkBAABfBQ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25"/>
        <w:rFonts w:hint="default"/>
      </w:rPr>
      <w:t>北京国标联合认证有限公司</w:t>
    </w:r>
    <w:r>
      <w:rPr>
        <w:rStyle w:val="25"/>
        <w:rFonts w:hint="default"/>
      </w:rPr>
      <w:tab/>
    </w:r>
    <w:r>
      <w:rPr>
        <w:rStyle w:val="25"/>
        <w:rFonts w:hint="default"/>
      </w:rPr>
      <w:tab/>
    </w:r>
    <w:r>
      <w:rPr>
        <w:rStyle w:val="25"/>
        <w:rFonts w:hint="default"/>
      </w:rPr>
      <w:tab/>
    </w:r>
  </w:p>
  <w:p>
    <w:pPr>
      <w:pStyle w:val="12"/>
      <w:pBdr>
        <w:bottom w:val="none" w:color="auto" w:sz="0" w:space="0"/>
      </w:pBdr>
      <w:spacing w:line="320" w:lineRule="exact"/>
      <w:ind w:firstLine="756" w:firstLineChars="400"/>
      <w:jc w:val="left"/>
    </w:pPr>
    <w:r>
      <w:rPr>
        <w:rStyle w:val="2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047D63"/>
    <w:multiLevelType w:val="singleLevel"/>
    <w:tmpl w:val="9E047D63"/>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1">
    <w:nsid w:val="00000015"/>
    <w:multiLevelType w:val="multilevel"/>
    <w:tmpl w:val="00000015"/>
    <w:lvl w:ilvl="0" w:tentative="0">
      <w:start w:val="1"/>
      <w:numFmt w:val="lowerLetter"/>
      <w:pStyle w:val="28"/>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2">
    <w:nsid w:val="0DE4F773"/>
    <w:multiLevelType w:val="singleLevel"/>
    <w:tmpl w:val="0DE4F773"/>
    <w:lvl w:ilvl="0" w:tentative="0">
      <w:start w:val="1"/>
      <w:numFmt w:val="lowerLetter"/>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MDgzNTgzOGI2YTcxNDk1Yjk2MGUwMDM3N2Y3MmIifQ=="/>
  </w:docVars>
  <w:rsids>
    <w:rsidRoot w:val="00000000"/>
    <w:rsid w:val="003260B7"/>
    <w:rsid w:val="00833284"/>
    <w:rsid w:val="00B14EE5"/>
    <w:rsid w:val="011D53EA"/>
    <w:rsid w:val="0177134F"/>
    <w:rsid w:val="017E3DB0"/>
    <w:rsid w:val="01C04F86"/>
    <w:rsid w:val="01CF1530"/>
    <w:rsid w:val="01DE515F"/>
    <w:rsid w:val="021B3B4C"/>
    <w:rsid w:val="02705A93"/>
    <w:rsid w:val="028F05B2"/>
    <w:rsid w:val="031A77C0"/>
    <w:rsid w:val="033F1C52"/>
    <w:rsid w:val="03637142"/>
    <w:rsid w:val="03C0720F"/>
    <w:rsid w:val="07417436"/>
    <w:rsid w:val="07B60937"/>
    <w:rsid w:val="088D190A"/>
    <w:rsid w:val="08AB2CE3"/>
    <w:rsid w:val="0A82515C"/>
    <w:rsid w:val="0A9A614C"/>
    <w:rsid w:val="0AAC0660"/>
    <w:rsid w:val="0B774229"/>
    <w:rsid w:val="0BFB0478"/>
    <w:rsid w:val="0CBC4BA9"/>
    <w:rsid w:val="0D1E160E"/>
    <w:rsid w:val="0D6C319A"/>
    <w:rsid w:val="0D8F3697"/>
    <w:rsid w:val="0DBD0513"/>
    <w:rsid w:val="0DC10540"/>
    <w:rsid w:val="0DCF4FC9"/>
    <w:rsid w:val="0E225B4A"/>
    <w:rsid w:val="0F9F2542"/>
    <w:rsid w:val="102006B1"/>
    <w:rsid w:val="10CE5F03"/>
    <w:rsid w:val="10E35DEF"/>
    <w:rsid w:val="115C7DB5"/>
    <w:rsid w:val="118F65E6"/>
    <w:rsid w:val="11D658B4"/>
    <w:rsid w:val="11EC3BA9"/>
    <w:rsid w:val="12D149BF"/>
    <w:rsid w:val="12E33173"/>
    <w:rsid w:val="13196F2B"/>
    <w:rsid w:val="13477178"/>
    <w:rsid w:val="145A1F2C"/>
    <w:rsid w:val="14851B53"/>
    <w:rsid w:val="149C7998"/>
    <w:rsid w:val="14B275DB"/>
    <w:rsid w:val="14B54A65"/>
    <w:rsid w:val="15CE2D26"/>
    <w:rsid w:val="16F75FE9"/>
    <w:rsid w:val="17102CA4"/>
    <w:rsid w:val="17302E48"/>
    <w:rsid w:val="175A7373"/>
    <w:rsid w:val="18793362"/>
    <w:rsid w:val="189378BE"/>
    <w:rsid w:val="18B44D3D"/>
    <w:rsid w:val="18B85D14"/>
    <w:rsid w:val="18E11348"/>
    <w:rsid w:val="18E77279"/>
    <w:rsid w:val="18F16E26"/>
    <w:rsid w:val="19036BAC"/>
    <w:rsid w:val="19472E9F"/>
    <w:rsid w:val="197D4BDA"/>
    <w:rsid w:val="19C01A32"/>
    <w:rsid w:val="1A7B6000"/>
    <w:rsid w:val="1ADF238C"/>
    <w:rsid w:val="1B822BA2"/>
    <w:rsid w:val="1BA979E5"/>
    <w:rsid w:val="1BB94C0D"/>
    <w:rsid w:val="1C3310EC"/>
    <w:rsid w:val="1C524851"/>
    <w:rsid w:val="1CC80A08"/>
    <w:rsid w:val="1D0B7F72"/>
    <w:rsid w:val="1D38101A"/>
    <w:rsid w:val="1DDD093F"/>
    <w:rsid w:val="1EEB3973"/>
    <w:rsid w:val="1F6E1F30"/>
    <w:rsid w:val="201E255B"/>
    <w:rsid w:val="217E04D3"/>
    <w:rsid w:val="21983830"/>
    <w:rsid w:val="222C3DEF"/>
    <w:rsid w:val="22BC0878"/>
    <w:rsid w:val="22EE13EB"/>
    <w:rsid w:val="22EE1FD0"/>
    <w:rsid w:val="23177672"/>
    <w:rsid w:val="234B0F30"/>
    <w:rsid w:val="23DF3620"/>
    <w:rsid w:val="23EF0971"/>
    <w:rsid w:val="2447030E"/>
    <w:rsid w:val="24CA2EB0"/>
    <w:rsid w:val="26093C74"/>
    <w:rsid w:val="272F5836"/>
    <w:rsid w:val="277125BE"/>
    <w:rsid w:val="284134E6"/>
    <w:rsid w:val="28D81B7D"/>
    <w:rsid w:val="29041774"/>
    <w:rsid w:val="2911486E"/>
    <w:rsid w:val="294240FB"/>
    <w:rsid w:val="29CE4600"/>
    <w:rsid w:val="29FE34AB"/>
    <w:rsid w:val="2B1739DD"/>
    <w:rsid w:val="2B3E2FBA"/>
    <w:rsid w:val="2B573DAA"/>
    <w:rsid w:val="2C550133"/>
    <w:rsid w:val="2CA45F3A"/>
    <w:rsid w:val="2D7A3A3A"/>
    <w:rsid w:val="2D8663FD"/>
    <w:rsid w:val="2DAA2150"/>
    <w:rsid w:val="2E8F366C"/>
    <w:rsid w:val="2F2A7EBA"/>
    <w:rsid w:val="2F57331C"/>
    <w:rsid w:val="30037C26"/>
    <w:rsid w:val="303B7397"/>
    <w:rsid w:val="31344A06"/>
    <w:rsid w:val="3147160D"/>
    <w:rsid w:val="31BD3593"/>
    <w:rsid w:val="320E3C68"/>
    <w:rsid w:val="32837E52"/>
    <w:rsid w:val="33103299"/>
    <w:rsid w:val="33775400"/>
    <w:rsid w:val="33805DE1"/>
    <w:rsid w:val="339758CB"/>
    <w:rsid w:val="33CC093E"/>
    <w:rsid w:val="33FA7C5F"/>
    <w:rsid w:val="34CB1130"/>
    <w:rsid w:val="34E53114"/>
    <w:rsid w:val="355A0925"/>
    <w:rsid w:val="359D0DF3"/>
    <w:rsid w:val="35C67F79"/>
    <w:rsid w:val="36126196"/>
    <w:rsid w:val="366E1817"/>
    <w:rsid w:val="367900AF"/>
    <w:rsid w:val="36A22794"/>
    <w:rsid w:val="36CF348C"/>
    <w:rsid w:val="36EA5EE9"/>
    <w:rsid w:val="371922FC"/>
    <w:rsid w:val="377C1237"/>
    <w:rsid w:val="380939E1"/>
    <w:rsid w:val="38351ED1"/>
    <w:rsid w:val="383C6C49"/>
    <w:rsid w:val="38870F39"/>
    <w:rsid w:val="38A46AC5"/>
    <w:rsid w:val="38E15ACA"/>
    <w:rsid w:val="391E4C9C"/>
    <w:rsid w:val="39803EC1"/>
    <w:rsid w:val="3A8F65B8"/>
    <w:rsid w:val="3BD63FE6"/>
    <w:rsid w:val="3BF455F6"/>
    <w:rsid w:val="3C4507D5"/>
    <w:rsid w:val="3C581BEF"/>
    <w:rsid w:val="3D6744FF"/>
    <w:rsid w:val="3D8E52AC"/>
    <w:rsid w:val="3DF74D1B"/>
    <w:rsid w:val="3E1B58A0"/>
    <w:rsid w:val="3EA06580"/>
    <w:rsid w:val="3EA26DAF"/>
    <w:rsid w:val="3EAF182F"/>
    <w:rsid w:val="3EB5698F"/>
    <w:rsid w:val="3EC34ABA"/>
    <w:rsid w:val="3F5856DB"/>
    <w:rsid w:val="3FF93951"/>
    <w:rsid w:val="404519F4"/>
    <w:rsid w:val="4077613F"/>
    <w:rsid w:val="40BA0D6D"/>
    <w:rsid w:val="411C61E6"/>
    <w:rsid w:val="416C2B8B"/>
    <w:rsid w:val="417A5FC0"/>
    <w:rsid w:val="41BB2EE6"/>
    <w:rsid w:val="42476F2A"/>
    <w:rsid w:val="42554C43"/>
    <w:rsid w:val="432F3DB2"/>
    <w:rsid w:val="437335E8"/>
    <w:rsid w:val="43BF6C09"/>
    <w:rsid w:val="442B4400"/>
    <w:rsid w:val="44446334"/>
    <w:rsid w:val="444E5D09"/>
    <w:rsid w:val="44824EF9"/>
    <w:rsid w:val="44B914B3"/>
    <w:rsid w:val="44F1365B"/>
    <w:rsid w:val="4551549E"/>
    <w:rsid w:val="45AE3ABC"/>
    <w:rsid w:val="461027D4"/>
    <w:rsid w:val="4612132D"/>
    <w:rsid w:val="46352363"/>
    <w:rsid w:val="46446364"/>
    <w:rsid w:val="47476F4F"/>
    <w:rsid w:val="47DC5BC5"/>
    <w:rsid w:val="47DF4F69"/>
    <w:rsid w:val="47E524E0"/>
    <w:rsid w:val="481B7C3D"/>
    <w:rsid w:val="484F769A"/>
    <w:rsid w:val="4865696C"/>
    <w:rsid w:val="494D6999"/>
    <w:rsid w:val="49626503"/>
    <w:rsid w:val="49702770"/>
    <w:rsid w:val="49C83E68"/>
    <w:rsid w:val="4A2910D0"/>
    <w:rsid w:val="4ABB2EEE"/>
    <w:rsid w:val="4B595976"/>
    <w:rsid w:val="4BBF129A"/>
    <w:rsid w:val="4C0629F4"/>
    <w:rsid w:val="4C446229"/>
    <w:rsid w:val="4C4F5BD9"/>
    <w:rsid w:val="4C5F29D1"/>
    <w:rsid w:val="4CBA270B"/>
    <w:rsid w:val="4CFF13A0"/>
    <w:rsid w:val="4D0C3053"/>
    <w:rsid w:val="4D411C5A"/>
    <w:rsid w:val="4D6E7649"/>
    <w:rsid w:val="4E24358E"/>
    <w:rsid w:val="4E3B00AF"/>
    <w:rsid w:val="4E7765B4"/>
    <w:rsid w:val="4F506008"/>
    <w:rsid w:val="4F714B84"/>
    <w:rsid w:val="514D1222"/>
    <w:rsid w:val="51B8376E"/>
    <w:rsid w:val="521850C1"/>
    <w:rsid w:val="524449E2"/>
    <w:rsid w:val="5256365E"/>
    <w:rsid w:val="52A12CD7"/>
    <w:rsid w:val="53135462"/>
    <w:rsid w:val="534B0D9C"/>
    <w:rsid w:val="53915C12"/>
    <w:rsid w:val="53AF762B"/>
    <w:rsid w:val="53C71F85"/>
    <w:rsid w:val="54700952"/>
    <w:rsid w:val="54C93230"/>
    <w:rsid w:val="551322A2"/>
    <w:rsid w:val="553125F3"/>
    <w:rsid w:val="556E1F98"/>
    <w:rsid w:val="559A44DB"/>
    <w:rsid w:val="562D49AE"/>
    <w:rsid w:val="56401572"/>
    <w:rsid w:val="565F1587"/>
    <w:rsid w:val="57182DEC"/>
    <w:rsid w:val="57284198"/>
    <w:rsid w:val="572C3A40"/>
    <w:rsid w:val="576A4F45"/>
    <w:rsid w:val="58193004"/>
    <w:rsid w:val="58205FEC"/>
    <w:rsid w:val="58217254"/>
    <w:rsid w:val="58376D96"/>
    <w:rsid w:val="58C06FF7"/>
    <w:rsid w:val="58CE6C09"/>
    <w:rsid w:val="5A391125"/>
    <w:rsid w:val="5A9B3411"/>
    <w:rsid w:val="5B7C68DC"/>
    <w:rsid w:val="5C25328D"/>
    <w:rsid w:val="5D170F36"/>
    <w:rsid w:val="5D461ACD"/>
    <w:rsid w:val="5D4D5F76"/>
    <w:rsid w:val="5DAC7A6B"/>
    <w:rsid w:val="5DBE0D94"/>
    <w:rsid w:val="5DF04D09"/>
    <w:rsid w:val="5DF3340F"/>
    <w:rsid w:val="5E692F00"/>
    <w:rsid w:val="5ED34DAC"/>
    <w:rsid w:val="5EE766E6"/>
    <w:rsid w:val="5EF77A6C"/>
    <w:rsid w:val="5F2E35DE"/>
    <w:rsid w:val="5F8B4901"/>
    <w:rsid w:val="5FA872E3"/>
    <w:rsid w:val="6031028F"/>
    <w:rsid w:val="60BF4B60"/>
    <w:rsid w:val="611A455B"/>
    <w:rsid w:val="61630B06"/>
    <w:rsid w:val="61650413"/>
    <w:rsid w:val="616D2724"/>
    <w:rsid w:val="61973485"/>
    <w:rsid w:val="62662A7E"/>
    <w:rsid w:val="628A5575"/>
    <w:rsid w:val="62C57781"/>
    <w:rsid w:val="634F4853"/>
    <w:rsid w:val="635570EF"/>
    <w:rsid w:val="642E13EB"/>
    <w:rsid w:val="64A50F4A"/>
    <w:rsid w:val="64A667F7"/>
    <w:rsid w:val="64B82FFF"/>
    <w:rsid w:val="65584A66"/>
    <w:rsid w:val="65FF636C"/>
    <w:rsid w:val="664A62D0"/>
    <w:rsid w:val="67080D82"/>
    <w:rsid w:val="67702B08"/>
    <w:rsid w:val="67A94358"/>
    <w:rsid w:val="6810000F"/>
    <w:rsid w:val="68880726"/>
    <w:rsid w:val="68E128A7"/>
    <w:rsid w:val="692769A5"/>
    <w:rsid w:val="6949489A"/>
    <w:rsid w:val="69A578CA"/>
    <w:rsid w:val="6B9F2FD4"/>
    <w:rsid w:val="6BCA1924"/>
    <w:rsid w:val="6C4B4A21"/>
    <w:rsid w:val="6C932CCA"/>
    <w:rsid w:val="6CD75FEC"/>
    <w:rsid w:val="6D660A87"/>
    <w:rsid w:val="6EA0302F"/>
    <w:rsid w:val="6EE20292"/>
    <w:rsid w:val="6FE46E8C"/>
    <w:rsid w:val="702F4BB1"/>
    <w:rsid w:val="70871AD7"/>
    <w:rsid w:val="70B135AA"/>
    <w:rsid w:val="71636FD9"/>
    <w:rsid w:val="7185690A"/>
    <w:rsid w:val="71B72167"/>
    <w:rsid w:val="7212223E"/>
    <w:rsid w:val="723B6919"/>
    <w:rsid w:val="72CE4E43"/>
    <w:rsid w:val="73216213"/>
    <w:rsid w:val="73A55184"/>
    <w:rsid w:val="745203AA"/>
    <w:rsid w:val="74625E33"/>
    <w:rsid w:val="75915985"/>
    <w:rsid w:val="75A958EC"/>
    <w:rsid w:val="77103C4B"/>
    <w:rsid w:val="77BE4E39"/>
    <w:rsid w:val="78607421"/>
    <w:rsid w:val="7895021B"/>
    <w:rsid w:val="79101D48"/>
    <w:rsid w:val="795D34C2"/>
    <w:rsid w:val="797C23F5"/>
    <w:rsid w:val="799314ED"/>
    <w:rsid w:val="79B8617A"/>
    <w:rsid w:val="79C60CFA"/>
    <w:rsid w:val="7A246614"/>
    <w:rsid w:val="7AA10D25"/>
    <w:rsid w:val="7BC566B5"/>
    <w:rsid w:val="7C6D4269"/>
    <w:rsid w:val="7D4D5285"/>
    <w:rsid w:val="7D9B14E6"/>
    <w:rsid w:val="7E7715D8"/>
    <w:rsid w:val="7E9F0934"/>
    <w:rsid w:val="7EBE5B64"/>
    <w:rsid w:val="7EF74AED"/>
    <w:rsid w:val="7F1F7BDC"/>
    <w:rsid w:val="7F6B32D6"/>
    <w:rsid w:val="7F763505"/>
    <w:rsid w:val="7FD06E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6" w:lineRule="auto"/>
      <w:outlineLvl w:val="1"/>
    </w:pPr>
    <w:rPr>
      <w:rFonts w:ascii="Arial" w:hAnsi="Arial" w:eastAsia="黑体"/>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Style1"/>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 w:type="paragraph" w:customStyle="1" w:styleId="4">
    <w:name w:val="段落正文"/>
    <w:qFormat/>
    <w:uiPriority w:val="0"/>
    <w:pPr>
      <w:spacing w:line="360" w:lineRule="auto"/>
      <w:ind w:firstLine="200" w:firstLineChars="200"/>
      <w:jc w:val="both"/>
    </w:pPr>
    <w:rPr>
      <w:rFonts w:ascii="Times New Roman" w:hAnsi="Times New Roman" w:eastAsia="仿宋_GB2312" w:cs="黑体"/>
      <w:kern w:val="2"/>
      <w:sz w:val="28"/>
      <w:szCs w:val="24"/>
      <w:lang w:val="en-US" w:eastAsia="zh-CN" w:bidi="ar-SA"/>
    </w:rPr>
  </w:style>
  <w:style w:type="paragraph" w:styleId="5">
    <w:name w:val="Normal Indent"/>
    <w:basedOn w:val="1"/>
    <w:qFormat/>
    <w:uiPriority w:val="0"/>
    <w:pPr>
      <w:ind w:firstLine="420"/>
    </w:pPr>
    <w:rPr>
      <w:szCs w:val="20"/>
    </w:rPr>
  </w:style>
  <w:style w:type="paragraph" w:styleId="6">
    <w:name w:val="Body Text"/>
    <w:basedOn w:val="1"/>
    <w:next w:val="7"/>
    <w:qFormat/>
    <w:uiPriority w:val="0"/>
    <w:rPr>
      <w:sz w:val="24"/>
    </w:rPr>
  </w:style>
  <w:style w:type="paragraph" w:styleId="7">
    <w:name w:val="List Bullet 5"/>
    <w:basedOn w:val="1"/>
    <w:semiHidden/>
    <w:unhideWhenUsed/>
    <w:qFormat/>
    <w:uiPriority w:val="99"/>
    <w:pPr>
      <w:numPr>
        <w:ilvl w:val="0"/>
        <w:numId w:val="1"/>
      </w:numPr>
    </w:pPr>
  </w:style>
  <w:style w:type="paragraph" w:styleId="8">
    <w:name w:val="Body Text Indent"/>
    <w:basedOn w:val="1"/>
    <w:qFormat/>
    <w:uiPriority w:val="0"/>
    <w:pPr>
      <w:tabs>
        <w:tab w:val="left" w:pos="1560"/>
        <w:tab w:val="left" w:pos="1985"/>
      </w:tabs>
      <w:ind w:left="1560" w:hanging="1560"/>
      <w:jc w:val="left"/>
    </w:pPr>
    <w:rPr>
      <w:lang w:eastAsia="ja-JP"/>
    </w:rPr>
  </w:style>
  <w:style w:type="paragraph" w:styleId="9">
    <w:name w:val="Plain Text"/>
    <w:basedOn w:val="1"/>
    <w:qFormat/>
    <w:uiPriority w:val="0"/>
    <w:rPr>
      <w:rFonts w:ascii="宋体" w:hAnsi="Courier New" w:cs="Courier New"/>
      <w:szCs w:val="21"/>
    </w:rPr>
  </w:style>
  <w:style w:type="paragraph" w:styleId="10">
    <w:name w:val="Balloon Text"/>
    <w:basedOn w:val="1"/>
    <w:link w:val="24"/>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able of figures"/>
    <w:basedOn w:val="1"/>
    <w:next w:val="1"/>
    <w:qFormat/>
    <w:uiPriority w:val="0"/>
    <w:pPr>
      <w:ind w:left="200" w:leftChars="200" w:hanging="200" w:hangingChars="200"/>
    </w:pPr>
  </w:style>
  <w:style w:type="paragraph" w:styleId="1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6">
    <w:name w:val="Body Text First Indent"/>
    <w:basedOn w:val="6"/>
    <w:unhideWhenUsed/>
    <w:qFormat/>
    <w:uiPriority w:val="99"/>
    <w:pPr>
      <w:ind w:firstLine="420" w:firstLineChars="100"/>
    </w:pPr>
  </w:style>
  <w:style w:type="paragraph" w:styleId="17">
    <w:name w:val="Body Text First Indent 2"/>
    <w:basedOn w:val="8"/>
    <w:qFormat/>
    <w:uiPriority w:val="0"/>
    <w:pPr>
      <w:spacing w:after="120" w:afterLines="0"/>
      <w:ind w:left="420" w:leftChars="200" w:firstLine="420" w:firstLineChars="200"/>
    </w:pPr>
    <w:rPr>
      <w:rFonts w:ascii="Times New Roman" w:hAnsi="Times New Roman"/>
      <w:szCs w:val="24"/>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表格文字"/>
    <w:basedOn w:val="1"/>
    <w:qFormat/>
    <w:uiPriority w:val="0"/>
    <w:pPr>
      <w:spacing w:before="25" w:after="25"/>
    </w:pPr>
    <w:rPr>
      <w:bCs/>
      <w:spacing w:val="10"/>
    </w:rPr>
  </w:style>
  <w:style w:type="character" w:customStyle="1" w:styleId="22">
    <w:name w:val="页眉 Char"/>
    <w:basedOn w:val="20"/>
    <w:link w:val="12"/>
    <w:qFormat/>
    <w:uiPriority w:val="99"/>
    <w:rPr>
      <w:rFonts w:ascii="Times New Roman" w:hAnsi="Times New Roman" w:eastAsia="宋体" w:cs="Times New Roman"/>
      <w:sz w:val="18"/>
      <w:szCs w:val="18"/>
    </w:rPr>
  </w:style>
  <w:style w:type="character" w:customStyle="1" w:styleId="23">
    <w:name w:val="页脚 Char"/>
    <w:basedOn w:val="20"/>
    <w:link w:val="11"/>
    <w:qFormat/>
    <w:uiPriority w:val="99"/>
    <w:rPr>
      <w:rFonts w:ascii="Times New Roman" w:hAnsi="Times New Roman" w:eastAsia="宋体" w:cs="Times New Roman"/>
      <w:sz w:val="18"/>
      <w:szCs w:val="18"/>
    </w:rPr>
  </w:style>
  <w:style w:type="character" w:customStyle="1" w:styleId="24">
    <w:name w:val="批注框文本 Char"/>
    <w:basedOn w:val="20"/>
    <w:link w:val="10"/>
    <w:semiHidden/>
    <w:qFormat/>
    <w:uiPriority w:val="99"/>
    <w:rPr>
      <w:rFonts w:ascii="Times New Roman" w:hAnsi="Times New Roman" w:eastAsia="宋体" w:cs="Times New Roman"/>
      <w:sz w:val="18"/>
      <w:szCs w:val="18"/>
    </w:rPr>
  </w:style>
  <w:style w:type="character" w:customStyle="1" w:styleId="25">
    <w:name w:val="Char Char1"/>
    <w:qFormat/>
    <w:locked/>
    <w:uiPriority w:val="0"/>
    <w:rPr>
      <w:rFonts w:hint="eastAsia" w:ascii="宋体" w:hAnsi="Courier New" w:eastAsia="宋体"/>
      <w:kern w:val="2"/>
      <w:sz w:val="21"/>
      <w:lang w:val="en-US" w:eastAsia="zh-CN" w:bidi="ar-SA"/>
    </w:rPr>
  </w:style>
  <w:style w:type="paragraph" w:styleId="26">
    <w:name w:val="List Paragraph"/>
    <w:basedOn w:val="1"/>
    <w:qFormat/>
    <w:uiPriority w:val="99"/>
    <w:pPr>
      <w:ind w:firstLine="420" w:firstLineChars="200"/>
    </w:pPr>
  </w:style>
  <w:style w:type="paragraph" w:customStyle="1" w:styleId="27">
    <w:name w:val="样式1"/>
    <w:next w:val="1"/>
    <w:qFormat/>
    <w:uiPriority w:val="0"/>
    <w:pPr>
      <w:spacing w:line="360" w:lineRule="auto"/>
    </w:pPr>
    <w:rPr>
      <w:rFonts w:ascii="Microsoft YaHei UI" w:hAnsi="Microsoft YaHei UI" w:eastAsia="宋体" w:cs="Microsoft YaHei UI"/>
      <w:b/>
      <w:color w:val="000000"/>
      <w:kern w:val="2"/>
      <w:sz w:val="21"/>
      <w:szCs w:val="21"/>
      <w:lang w:val="en-US" w:eastAsia="zh-CN" w:bidi="ar-SA"/>
    </w:rPr>
  </w:style>
  <w:style w:type="paragraph" w:customStyle="1" w:styleId="28">
    <w:name w:val="字母编号列项（一级）"/>
    <w:qFormat/>
    <w:uiPriority w:val="0"/>
    <w:pPr>
      <w:numPr>
        <w:ilvl w:val="0"/>
        <w:numId w:val="2"/>
      </w:numPr>
      <w:jc w:val="both"/>
    </w:pPr>
    <w:rPr>
      <w:rFonts w:ascii="宋体" w:hAnsi="Times New Roman" w:eastAsia="宋体" w:cs="Times New Roman"/>
      <w:sz w:val="21"/>
      <w:lang w:val="en-US" w:eastAsia="zh-CN" w:bidi="ar-SA"/>
    </w:rPr>
  </w:style>
  <w:style w:type="paragraph" w:customStyle="1" w:styleId="29">
    <w:name w:val="正文文本部分"/>
    <w:basedOn w:val="1"/>
    <w:qFormat/>
    <w:uiPriority w:val="0"/>
    <w:pPr>
      <w:widowControl/>
      <w:adjustRightInd w:val="0"/>
      <w:snapToGrid w:val="0"/>
      <w:spacing w:beforeLines="50" w:line="360" w:lineRule="auto"/>
      <w:ind w:firstLine="200" w:firstLineChars="200"/>
      <w:jc w:val="left"/>
    </w:pPr>
    <w:rPr>
      <w:rFonts w:hAnsi="Times New Roman" w:eastAsia="宋体" w:cs="Times New Roman" w:asciiTheme="minorEastAsia"/>
      <w:kern w:val="0"/>
      <w:sz w:val="24"/>
      <w:szCs w:val="20"/>
    </w:rPr>
  </w:style>
  <w:style w:type="paragraph" w:customStyle="1" w:styleId="30">
    <w:name w:val="Body 9pt"/>
    <w:basedOn w:val="1"/>
    <w:qFormat/>
    <w:uiPriority w:val="0"/>
    <w:pPr>
      <w:spacing w:before="40" w:after="40"/>
    </w:pPr>
    <w:rPr>
      <w:rFonts w:eastAsia="Times New Roman"/>
      <w:sz w:val="18"/>
      <w:lang w:val="de-DE" w:eastAsia="de-DE"/>
    </w:rPr>
  </w:style>
  <w:style w:type="paragraph" w:customStyle="1" w:styleId="31">
    <w:name w:val="Body text|1"/>
    <w:basedOn w:val="1"/>
    <w:qFormat/>
    <w:uiPriority w:val="0"/>
    <w:pPr>
      <w:widowControl w:val="0"/>
      <w:shd w:val="clear" w:color="auto" w:fill="auto"/>
      <w:spacing w:line="360" w:lineRule="auto"/>
      <w:ind w:firstLine="400"/>
    </w:pPr>
    <w:rPr>
      <w:rFonts w:ascii="宋体" w:hAnsi="宋体" w:eastAsia="宋体" w:cs="宋体"/>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16612</Words>
  <Characters>18240</Characters>
  <Lines>1</Lines>
  <Paragraphs>1</Paragraphs>
  <TotalTime>0</TotalTime>
  <ScaleCrop>false</ScaleCrop>
  <LinksUpToDate>false</LinksUpToDate>
  <CharactersWithSpaces>19557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2023-01-19T00:02:24Z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AF5B0865D86C4DB9A08E00A048C11CD5</vt:lpwstr>
  </property>
  <property fmtid="{D5CDD505-2E9C-101B-9397-08002B2CF9AE}" pid="3" name="KSOProductBuildVer">
    <vt:lpwstr>2052-11.1.0.10314</vt:lpwstr>
  </property>
</Properties>
</file>