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904"/>
        <w:gridCol w:w="948"/>
        <w:gridCol w:w="1416"/>
        <w:gridCol w:w="86"/>
        <w:gridCol w:w="1004"/>
        <w:gridCol w:w="934"/>
        <w:gridCol w:w="545"/>
        <w:gridCol w:w="136"/>
        <w:gridCol w:w="582"/>
        <w:gridCol w:w="109"/>
        <w:gridCol w:w="62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33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宜宾市南溪区机关事务综合服务中心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33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宜宾市南溪区人民政府行政办公楼三楼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33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宜宾市南溪区人民政府行政办公楼三楼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李刚杰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15283662878</w:t>
            </w:r>
            <w:bookmarkEnd w:id="4"/>
          </w:p>
        </w:tc>
        <w:tc>
          <w:tcPr>
            <w:tcW w:w="69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8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68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15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69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0108-2023-EnMs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88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33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88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33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8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33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8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33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□录像机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5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33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73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机关事业单位管理所涉及的能源管理活动</w:t>
            </w:r>
            <w:bookmarkEnd w:id="17"/>
          </w:p>
        </w:tc>
        <w:tc>
          <w:tcPr>
            <w:tcW w:w="131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2.9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5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33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T 107-2013 能源管理体系 公共建筑管理组织认证要求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33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2023年01月17日 下午至2023年01月18日 下午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</w:rPr>
              <w:t>1.5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33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2.9</w:t>
            </w:r>
          </w:p>
        </w:tc>
        <w:tc>
          <w:tcPr>
            <w:tcW w:w="151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2021-N1EnMS-3061496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51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184785</wp:posOffset>
                  </wp:positionV>
                  <wp:extent cx="673100" cy="274955"/>
                  <wp:effectExtent l="0" t="0" r="0" b="3810"/>
                  <wp:wrapSquare wrapText="bothSides"/>
                  <wp:docPr id="3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李永忠</w:t>
            </w:r>
            <w:bookmarkEnd w:id="21"/>
          </w:p>
        </w:tc>
        <w:tc>
          <w:tcPr>
            <w:tcW w:w="126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2023.1.16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8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2023.1.17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00"/>
        <w:gridCol w:w="1280"/>
        <w:gridCol w:w="3755"/>
        <w:gridCol w:w="161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1-17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-14:30</w:t>
            </w:r>
          </w:p>
        </w:tc>
        <w:tc>
          <w:tcPr>
            <w:tcW w:w="128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相关人员</w:t>
            </w:r>
          </w:p>
        </w:tc>
        <w:tc>
          <w:tcPr>
            <w:tcW w:w="375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AB（腾讯会议）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169194960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1-17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30-18:00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75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</w:t>
            </w:r>
            <w:r>
              <w:rPr>
                <w:rFonts w:hint="eastAsia"/>
                <w:sz w:val="21"/>
                <w:szCs w:val="21"/>
              </w:rPr>
              <w:t>资源提供、管理评审过程、监视和测量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1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1-17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14:30-15:30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7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现场管理等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1-17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15:30-18:00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节能减排股</w:t>
            </w:r>
          </w:p>
        </w:tc>
        <w:tc>
          <w:tcPr>
            <w:tcW w:w="37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能源评审、能源绩效参数、能源基准、能源数据收集的策划、沟通、运行控制、设计研发、能源采购、能源绩效监视测量、法律法规及其它要求的收集及合规性评价、不符合纠正及纠正措施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.3/6.4/6.5/6.6/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/9.1.2/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综合股</w:t>
            </w:r>
          </w:p>
        </w:tc>
        <w:tc>
          <w:tcPr>
            <w:tcW w:w="37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运行控制、用能设备采购、内部审核实施、不符合纠正及纠正措施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7.2/7.3/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8.3/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9.2/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1-18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公务用房和车辆管理股</w:t>
            </w:r>
          </w:p>
        </w:tc>
        <w:tc>
          <w:tcPr>
            <w:tcW w:w="37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能源数据的收集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、运行控制、不符合纠正及纠正措施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1-18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公务接待一股</w:t>
            </w:r>
          </w:p>
        </w:tc>
        <w:tc>
          <w:tcPr>
            <w:tcW w:w="37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运行控制、不符合纠正及纠正措施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1-18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公务接待二股</w:t>
            </w:r>
          </w:p>
        </w:tc>
        <w:tc>
          <w:tcPr>
            <w:tcW w:w="37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运行控制、不符合纠正及纠正措施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1-18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00-17:10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</w:tc>
        <w:tc>
          <w:tcPr>
            <w:tcW w:w="1610" w:type="dxa"/>
            <w:vMerge w:val="restart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</w:t>
            </w:r>
          </w:p>
        </w:tc>
        <w:tc>
          <w:tcPr>
            <w:tcW w:w="1596" w:type="dxa"/>
            <w:vMerge w:val="restart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1-18</w:t>
            </w: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10-17:30</w:t>
            </w:r>
          </w:p>
        </w:tc>
        <w:tc>
          <w:tcPr>
            <w:tcW w:w="128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5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610" w:type="dxa"/>
            <w:vMerge w:val="continue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1-18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28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55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1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5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64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每天12:00-13:30午餐时间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default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</w:t>
      </w:r>
      <w:bookmarkStart w:id="22" w:name="_GoBack"/>
      <w:bookmarkEnd w:id="22"/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F08AD"/>
    <w:rsid w:val="54735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4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2023-01-17T17:27:40Z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