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68"/>
        <w:gridCol w:w="126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四川省宏环智能设备有限公司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Q:32.16.06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Q:32.16.06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</w:t>
            </w:r>
          </w:p>
        </w:tc>
        <w:tc>
          <w:tcPr>
            <w:tcW w:w="12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销售服务流程：业务洽谈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合同签订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发货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客户签收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售后服务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租赁服务流程：签订合同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租赁设备出库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租赁方接收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回收租赁设备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费用结算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特殊过程：服务过程，依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据特殊过程控制。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150" w:afterAutospacing="0"/>
              <w:ind w:left="0" w:right="250" w:firstLine="0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t>中华人民共和国劳动合同法、中华人民共和国消费者权益保护法、欺诈消费者行为处罚办法、中华人民共和国共和国合同法、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t>品牌价值 服务评价要求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t>GB/T 31042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t>-2014、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instrText xml:space="preserve"> HYPERLINK "http://www.spsp.gov.cn/page/CN/1999/GBT 17705-1999.shtml"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t>销售数据报告报文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instrText xml:space="preserve"> HYPERLINK "http://www.spsp.gov.cn/page/CN/1999/GBT 17705-1999.shtml"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t>GB/T 17705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t>-1999、机械设备租赁管理办法1935257580；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177800</wp:posOffset>
                  </wp:positionV>
                  <wp:extent cx="1003935" cy="325755"/>
                  <wp:effectExtent l="0" t="0" r="12065" b="4445"/>
                  <wp:wrapNone/>
                  <wp:docPr id="37" name="图片 37" descr="8167595353976a5f073eee1808c0a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8167595353976a5f073eee1808c0a5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-1808" t="13628" r="1518" b="6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2023年1月14日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241300</wp:posOffset>
                  </wp:positionV>
                  <wp:extent cx="1003935" cy="325755"/>
                  <wp:effectExtent l="0" t="0" r="12065" b="4445"/>
                  <wp:wrapNone/>
                  <wp:docPr id="1" name="图片 1" descr="8167595353976a5f073eee1808c0a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167595353976a5f073eee1808c0a5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-1808" t="13628" r="1518" b="6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2023年1月14日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68"/>
        <w:gridCol w:w="126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四川省宏环智能设备有限公司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sz w:val="21"/>
                <w:szCs w:val="21"/>
              </w:rPr>
              <w:t>:32.16.06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sz w:val="21"/>
                <w:szCs w:val="21"/>
              </w:rPr>
              <w:t>:32.16.06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</w:t>
            </w:r>
          </w:p>
        </w:tc>
        <w:tc>
          <w:tcPr>
            <w:tcW w:w="12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销售服务流程：业务洽谈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合同签订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发货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客户签收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售后服务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租赁服务流程：签订合同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租赁设备出库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租赁方接收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回收租赁设备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费用结算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重要环境因素：1潜在的火灾；2固废的排放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控制措施：采取分类收集、管理方案和预案措施管理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t>中华人民共和国劳动合同法、中华人民共和国消费者权益保护法、欺诈消费者行为处罚办法、中华人民共和国共和国合同法、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t>品牌价值 服务评价要求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t>GB/T 31042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t>-2014、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instrText xml:space="preserve"> HYPERLINK "http://www.spsp.gov.cn/page/CN/1999/GBT 17705-1999.shtml"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t>销售数据报告报文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instrText xml:space="preserve"> HYPERLINK "http://www.spsp.gov.cn/page/CN/1999/GBT 17705-1999.shtml"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t>GB/T 17705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-SA"/>
              </w:rPr>
              <w:t>-1999、机械设备租赁管理办法1935257580；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177800</wp:posOffset>
                  </wp:positionV>
                  <wp:extent cx="1003935" cy="325755"/>
                  <wp:effectExtent l="0" t="0" r="12065" b="4445"/>
                  <wp:wrapNone/>
                  <wp:docPr id="5" name="图片 5" descr="8167595353976a5f073eee1808c0a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167595353976a5f073eee1808c0a5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-1808" t="13628" r="1518" b="6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2023年1月14日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241300</wp:posOffset>
                  </wp:positionV>
                  <wp:extent cx="1003935" cy="325755"/>
                  <wp:effectExtent l="0" t="0" r="12065" b="4445"/>
                  <wp:wrapNone/>
                  <wp:docPr id="6" name="图片 6" descr="8167595353976a5f073eee1808c0a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167595353976a5f073eee1808c0a5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-1808" t="13628" r="1518" b="6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2023年1月14日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CAC4E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2023-01-15T12:28:16Z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