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四川江铜稀土有限责任公司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0211-2020-2023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0211-2020-2023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920"/>
        <w:gridCol w:w="191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四川江铜稀土有限责任公司</w:t>
            </w:r>
            <w:bookmarkEnd w:id="4"/>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5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汪金鹏</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ISC-2020-0862</w:t>
            </w:r>
            <w:bookmarkEnd w:id="6"/>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5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2025-12-09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2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51"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2023年02月08日</w:t>
            </w:r>
            <w:bookmarkEnd w:id="9"/>
            <w:r>
              <w:rPr>
                <w:rFonts w:hint="eastAsia" w:cs="宋体" w:asciiTheme="minorEastAsia" w:hAnsiTheme="minorEastAsia"/>
                <w:kern w:val="0"/>
                <w:szCs w:val="21"/>
                <w:lang w:val="en-US" w:eastAsia="zh-CN"/>
              </w:rPr>
              <w:t>-10日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3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20" w:type="dxa"/>
          </w:tcPr>
          <w:p>
            <w:pPr>
              <w:tabs>
                <w:tab w:val="left" w:pos="880"/>
              </w:tabs>
              <w:autoSpaceDE w:val="0"/>
              <w:autoSpaceDN w:val="0"/>
              <w:adjustRightInd w:val="0"/>
              <w:spacing w:before="35" w:line="360" w:lineRule="auto"/>
              <w:ind w:right="161"/>
              <w:jc w:val="left"/>
              <w:rPr>
                <w:rFonts w:hint="eastAsia" w:cs="宋体" w:asciiTheme="minorEastAsia" w:hAnsiTheme="minorEastAsia"/>
                <w:kern w:val="0"/>
                <w:szCs w:val="21"/>
              </w:rPr>
            </w:pPr>
            <w:r>
              <w:rPr>
                <w:rFonts w:hint="eastAsia" w:cs="宋体" w:asciiTheme="minorEastAsia" w:hAnsiTheme="minorEastAsia"/>
                <w:kern w:val="0"/>
                <w:szCs w:val="21"/>
              </w:rPr>
              <w:t>李学弘2019-M1MMS-1274211</w:t>
            </w:r>
          </w:p>
          <w:p>
            <w:pPr>
              <w:tabs>
                <w:tab w:val="left" w:pos="880"/>
              </w:tabs>
              <w:autoSpaceDE w:val="0"/>
              <w:autoSpaceDN w:val="0"/>
              <w:adjustRightInd w:val="0"/>
              <w:spacing w:before="35" w:line="360" w:lineRule="auto"/>
              <w:ind w:right="161"/>
              <w:jc w:val="left"/>
              <w:rPr>
                <w:rFonts w:hint="eastAsia" w:cs="宋体" w:asciiTheme="minorEastAsia" w:hAnsiTheme="minorEastAsia"/>
                <w:kern w:val="0"/>
                <w:szCs w:val="21"/>
              </w:rPr>
            </w:pPr>
            <w:r>
              <w:rPr>
                <w:rFonts w:hint="eastAsia" w:cs="宋体" w:asciiTheme="minorEastAsia" w:hAnsiTheme="minorEastAsia"/>
                <w:kern w:val="0"/>
                <w:szCs w:val="21"/>
              </w:rPr>
              <w:t>李俐2021-M1MMS-2222792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51" w:type="dxa"/>
          </w:tcPr>
          <w:p>
            <w:pPr>
              <w:jc w:val="left"/>
              <w:rPr>
                <w:rFonts w:cs="宋体" w:asciiTheme="minorEastAsia" w:hAnsiTheme="minorEastAsia"/>
                <w:kern w:val="0"/>
                <w:szCs w:val="21"/>
              </w:rPr>
            </w:pPr>
            <w:r>
              <w:rPr>
                <w:rFonts w:hint="eastAsia" w:eastAsia="新宋体"/>
                <w:sz w:val="18"/>
                <w:szCs w:val="18"/>
                <w:lang w:val="en-US" w:eastAsia="zh-CN"/>
              </w:rPr>
              <w:t>综合管理部、人力资源部、计质检化部、</w:t>
            </w:r>
            <w:r>
              <w:rPr>
                <w:rFonts w:hint="eastAsia" w:ascii="Times New Roman" w:hAnsi="Times New Roman" w:eastAsia="新宋体" w:cs="Times New Roman"/>
                <w:sz w:val="18"/>
                <w:szCs w:val="18"/>
                <w:lang w:val="en-US" w:eastAsia="zh-CN"/>
              </w:rPr>
              <w:t>财务部、</w:t>
            </w:r>
            <w:r>
              <w:rPr>
                <w:rFonts w:hint="eastAsia" w:eastAsia="宋体"/>
                <w:bCs/>
                <w:sz w:val="18"/>
                <w:szCs w:val="18"/>
                <w:lang w:val="en-US" w:eastAsia="zh-CN"/>
              </w:rPr>
              <w:t>设备能源部、</w:t>
            </w:r>
            <w:r>
              <w:rPr>
                <w:rFonts w:hint="eastAsia"/>
                <w:bCs/>
                <w:sz w:val="18"/>
                <w:szCs w:val="18"/>
                <w:lang w:val="en-US" w:eastAsia="zh-CN"/>
              </w:rPr>
              <w:t>安全生产管理部、供销</w:t>
            </w:r>
            <w:r>
              <w:rPr>
                <w:rFonts w:hint="eastAsia"/>
                <w:bCs/>
                <w:sz w:val="18"/>
                <w:szCs w:val="18"/>
              </w:rPr>
              <w:t>部</w:t>
            </w:r>
            <w:r>
              <w:rPr>
                <w:rFonts w:hint="eastAsia"/>
                <w:bCs/>
                <w:sz w:val="18"/>
                <w:szCs w:val="18"/>
                <w:lang w:eastAsia="zh-CN"/>
              </w:rPr>
              <w:t>、</w:t>
            </w:r>
            <w:r>
              <w:rPr>
                <w:rFonts w:hint="eastAsia" w:eastAsia="新宋体"/>
                <w:sz w:val="18"/>
                <w:szCs w:val="18"/>
                <w:lang w:val="en-US" w:eastAsia="zh-CN"/>
              </w:rPr>
              <w:t>生产技术部、技术中心、</w:t>
            </w:r>
            <w:r>
              <w:rPr>
                <w:rFonts w:hint="eastAsia" w:ascii="Times New Roman" w:hAnsi="Times New Roman" w:eastAsia="宋体" w:cs="Times New Roman"/>
                <w:bCs/>
                <w:sz w:val="18"/>
                <w:szCs w:val="18"/>
                <w:lang w:val="en-US" w:eastAsia="zh-CN"/>
              </w:rPr>
              <w:t>矿山管理部、</w:t>
            </w:r>
            <w:r>
              <w:rPr>
                <w:rFonts w:hint="eastAsia" w:ascii="Times New Roman" w:hAnsi="Times New Roman" w:eastAsia="新宋体" w:cs="Times New Roman"/>
                <w:sz w:val="18"/>
                <w:szCs w:val="18"/>
                <w:lang w:val="en-US" w:eastAsia="zh-CN"/>
              </w:rPr>
              <w:t>选矿厂、</w:t>
            </w:r>
            <w:r>
              <w:rPr>
                <w:rFonts w:hint="eastAsia" w:ascii="Times New Roman" w:hAnsi="Times New Roman" w:eastAsia="宋体" w:cs="Times New Roman"/>
                <w:bCs/>
                <w:sz w:val="18"/>
                <w:szCs w:val="18"/>
                <w:lang w:val="en-US" w:eastAsia="zh-CN"/>
              </w:rPr>
              <w:t>资源综合利用公司、</w:t>
            </w:r>
            <w:r>
              <w:rPr>
                <w:rFonts w:hint="eastAsia"/>
                <w:bCs/>
                <w:sz w:val="18"/>
                <w:szCs w:val="18"/>
                <w:lang w:val="en-US" w:eastAsia="zh-CN"/>
              </w:rPr>
              <w:t>环境保护管理部、</w:t>
            </w:r>
            <w:r>
              <w:rPr>
                <w:rFonts w:hint="eastAsia" w:eastAsia="新宋体"/>
                <w:sz w:val="18"/>
                <w:szCs w:val="18"/>
                <w:lang w:val="en-US" w:eastAsia="zh-CN"/>
              </w:rPr>
              <w:t>高新材料车间</w:t>
            </w:r>
            <w:r>
              <w:rPr>
                <w:rFonts w:hint="eastAsia"/>
                <w:sz w:val="18"/>
                <w:szCs w:val="18"/>
                <w:lang w:eastAsia="zh-CN"/>
              </w:rPr>
              <w:t>、</w:t>
            </w:r>
            <w:r>
              <w:rPr>
                <w:rFonts w:hint="eastAsia" w:eastAsia="新宋体"/>
                <w:sz w:val="18"/>
                <w:szCs w:val="18"/>
                <w:lang w:val="en-US" w:eastAsia="zh-CN"/>
              </w:rPr>
              <w:t>磁材公司</w:t>
            </w:r>
          </w:p>
        </w:tc>
      </w:tr>
    </w:tbl>
    <w:p>
      <w:pPr>
        <w:widowControl/>
        <w:spacing w:line="360" w:lineRule="auto"/>
        <w:rPr>
          <w:rFonts w:hint="eastAsia" w:ascii="宋体" w:hAnsi="宋体" w:eastAsia="宋体" w:cs="宋体"/>
          <w:color w:val="auto"/>
          <w:kern w:val="0"/>
          <w:szCs w:val="21"/>
        </w:rPr>
      </w:pPr>
      <w:r>
        <w:rPr>
          <w:rFonts w:hint="eastAsia" w:ascii="宋体" w:hAnsi="宋体" w:eastAsia="宋体" w:cs="宋体"/>
          <w:b/>
          <w:bCs/>
          <w:color w:val="auto"/>
          <w:kern w:val="0"/>
          <w:szCs w:val="21"/>
        </w:rPr>
        <w:t>二、监督审核内容</w:t>
      </w:r>
      <w:r>
        <w:rPr>
          <w:rFonts w:hint="eastAsia" w:ascii="宋体" w:hAnsi="宋体" w:eastAsia="宋体" w:cs="宋体"/>
          <w:bCs/>
          <w:color w:val="auto"/>
          <w:kern w:val="0"/>
          <w:szCs w:val="21"/>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1.一年内违反法律法规或重大事故的情况：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20</w:t>
      </w:r>
      <w:r>
        <w:rPr>
          <w:rFonts w:hint="eastAsia" w:ascii="宋体" w:hAnsi="宋体" w:eastAsia="宋体" w:cs="宋体"/>
          <w:bCs/>
          <w:color w:val="auto"/>
          <w:kern w:val="0"/>
          <w:szCs w:val="21"/>
          <w:lang w:val="en-US" w:eastAsia="zh-CN"/>
        </w:rPr>
        <w:t>21</w:t>
      </w:r>
      <w:bookmarkStart w:id="11" w:name="_GoBack"/>
      <w:bookmarkEnd w:id="11"/>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12</w:t>
      </w:r>
      <w:r>
        <w:rPr>
          <w:rFonts w:hint="eastAsia" w:ascii="宋体" w:hAnsi="宋体" w:eastAsia="宋体" w:cs="宋体"/>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2.</w:t>
      </w:r>
      <w:r>
        <w:rPr>
          <w:rFonts w:hint="eastAsia" w:ascii="宋体" w:hAnsi="宋体" w:eastAsia="宋体" w:cs="宋体"/>
          <w:bCs/>
          <w:color w:val="auto"/>
          <w:szCs w:val="21"/>
        </w:rPr>
        <w:t>内部审核和管理评审</w:t>
      </w:r>
      <w:r>
        <w:rPr>
          <w:rFonts w:hint="eastAsia" w:ascii="宋体" w:hAnsi="宋体" w:eastAsia="宋体" w:cs="宋体"/>
          <w:bCs/>
          <w:color w:val="auto"/>
          <w:kern w:val="0"/>
          <w:szCs w:val="21"/>
        </w:rPr>
        <w:t>的情况：</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2.1内审情况：</w:t>
      </w:r>
      <w:r>
        <w:rPr>
          <w:rFonts w:hint="eastAsia" w:ascii="宋体" w:hAnsi="宋体" w:eastAsia="宋体" w:cs="宋体"/>
          <w:bCs/>
          <w:color w:val="auto"/>
          <w:szCs w:val="21"/>
        </w:rPr>
        <w:t>公司于202</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10</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11</w:t>
      </w: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10</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14</w:t>
      </w:r>
      <w:r>
        <w:rPr>
          <w:rFonts w:hint="eastAsia" w:ascii="宋体" w:hAnsi="宋体" w:eastAsia="宋体" w:cs="宋体"/>
          <w:bCs/>
          <w:color w:val="auto"/>
          <w:szCs w:val="21"/>
        </w:rPr>
        <w:t>日组织了公司</w:t>
      </w:r>
      <w:r>
        <w:rPr>
          <w:rFonts w:hint="eastAsia" w:ascii="宋体" w:hAnsi="宋体" w:eastAsia="宋体" w:cs="宋体"/>
          <w:color w:val="auto"/>
          <w:kern w:val="0"/>
          <w:szCs w:val="21"/>
        </w:rPr>
        <w:t>质量</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测量</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能源</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环境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职业健康安全</w:t>
      </w:r>
      <w:r>
        <w:rPr>
          <w:rFonts w:hint="eastAsia" w:ascii="宋体" w:hAnsi="宋体" w:eastAsia="宋体" w:cs="宋体"/>
          <w:color w:val="auto"/>
          <w:kern w:val="0"/>
          <w:szCs w:val="21"/>
          <w:lang w:val="en-US" w:eastAsia="zh-CN"/>
        </w:rPr>
        <w:t>五标一体的</w:t>
      </w:r>
      <w:r>
        <w:rPr>
          <w:rFonts w:hint="eastAsia" w:ascii="宋体" w:hAnsi="宋体" w:eastAsia="宋体" w:cs="宋体"/>
          <w:color w:val="auto"/>
          <w:kern w:val="0"/>
          <w:szCs w:val="21"/>
        </w:rPr>
        <w:t>管理</w:t>
      </w:r>
      <w:r>
        <w:rPr>
          <w:rFonts w:hint="eastAsia" w:ascii="宋体" w:hAnsi="宋体" w:eastAsia="宋体" w:cs="宋体"/>
          <w:color w:val="auto"/>
          <w:szCs w:val="21"/>
          <w:lang w:val="en-US" w:eastAsia="zh-CN"/>
        </w:rPr>
        <w:t>体系的管理评审</w:t>
      </w:r>
      <w:r>
        <w:rPr>
          <w:rFonts w:hint="eastAsia" w:ascii="宋体" w:hAnsi="宋体" w:eastAsia="宋体" w:cs="宋体"/>
          <w:bCs/>
          <w:color w:val="auto"/>
          <w:szCs w:val="21"/>
        </w:rPr>
        <w:t>，内审分</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个组，对公司</w:t>
      </w:r>
      <w:r>
        <w:rPr>
          <w:rFonts w:hint="eastAsia" w:ascii="宋体" w:hAnsi="宋体" w:eastAsia="宋体" w:cs="宋体"/>
          <w:bCs/>
          <w:color w:val="auto"/>
          <w:szCs w:val="21"/>
          <w:lang w:val="en-US" w:eastAsia="zh-CN"/>
        </w:rPr>
        <w:t>15</w:t>
      </w:r>
      <w:r>
        <w:rPr>
          <w:rFonts w:hint="eastAsia" w:ascii="宋体" w:hAnsi="宋体" w:eastAsia="宋体" w:cs="宋体"/>
          <w:bCs/>
          <w:color w:val="auto"/>
          <w:szCs w:val="21"/>
        </w:rPr>
        <w:t>个部门进行了全要素的审核，共开出了</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rPr>
        <w:t>不符合项，于</w:t>
      </w:r>
      <w:r>
        <w:rPr>
          <w:rFonts w:hint="eastAsia" w:ascii="宋体" w:hAnsi="宋体" w:eastAsia="宋体" w:cs="宋体"/>
          <w:bCs/>
          <w:color w:val="auto"/>
          <w:szCs w:val="21"/>
          <w:lang w:val="en-US" w:eastAsia="zh-CN"/>
        </w:rPr>
        <w:t>10</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30</w:t>
      </w:r>
      <w:r>
        <w:rPr>
          <w:rFonts w:hint="eastAsia" w:ascii="宋体" w:hAnsi="宋体" w:eastAsia="宋体" w:cs="宋体"/>
          <w:bCs/>
          <w:color w:val="auto"/>
          <w:szCs w:val="21"/>
        </w:rPr>
        <w:t>日完成整改。</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eastAsia="宋体" w:cs="宋体"/>
          <w:bCs/>
          <w:color w:val="auto"/>
          <w:szCs w:val="21"/>
        </w:rPr>
        <w:t>企业</w:t>
      </w:r>
      <w:r>
        <w:rPr>
          <w:rFonts w:hint="eastAsia" w:ascii="宋体" w:hAnsi="宋体" w:eastAsia="宋体" w:cs="宋体"/>
          <w:color w:val="auto"/>
          <w:szCs w:val="21"/>
        </w:rPr>
        <w:t>于</w:t>
      </w:r>
      <w:r>
        <w:rPr>
          <w:rFonts w:hint="eastAsia" w:ascii="宋体" w:hAnsi="宋体" w:eastAsia="宋体" w:cs="宋体"/>
          <w:color w:val="auto"/>
          <w:szCs w:val="21"/>
          <w:lang w:val="en-US" w:eastAsia="zh-CN"/>
        </w:rPr>
        <w:t>2022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日开展了管理评审，会议由公司总经理</w:t>
      </w:r>
      <w:r>
        <w:rPr>
          <w:rFonts w:hint="eastAsia" w:ascii="宋体" w:hAnsi="宋体" w:eastAsia="宋体" w:cs="宋体"/>
          <w:color w:val="auto"/>
          <w:szCs w:val="21"/>
          <w:lang w:val="en-US" w:eastAsia="zh-CN"/>
        </w:rPr>
        <w:t>程根祥</w:t>
      </w:r>
      <w:r>
        <w:rPr>
          <w:rFonts w:hint="eastAsia" w:ascii="宋体" w:hAnsi="宋体" w:eastAsia="宋体" w:cs="宋体"/>
          <w:color w:val="auto"/>
          <w:szCs w:val="21"/>
        </w:rPr>
        <w:t>主持，由管理者代</w:t>
      </w:r>
      <w:r>
        <w:rPr>
          <w:rFonts w:hint="eastAsia" w:ascii="宋体" w:hAnsi="宋体" w:eastAsia="宋体" w:cs="宋体"/>
          <w:color w:val="auto"/>
          <w:szCs w:val="21"/>
          <w:lang w:val="en-US" w:eastAsia="zh-CN"/>
        </w:rPr>
        <w:t>徐建新</w:t>
      </w:r>
      <w:r>
        <w:rPr>
          <w:rFonts w:hint="eastAsia" w:ascii="宋体" w:hAnsi="宋体" w:eastAsia="宋体" w:cs="宋体"/>
          <w:color w:val="auto"/>
          <w:szCs w:val="21"/>
        </w:rPr>
        <w:t>汇报了体系运行情况。会议肯定了公司测量管理体系的充分性、有效性和适宜性。形成了管理评审报告，对公司测量体系目前存在的</w:t>
      </w:r>
      <w:r>
        <w:rPr>
          <w:rFonts w:hint="eastAsia" w:ascii="宋体" w:hAnsi="宋体" w:eastAsia="宋体" w:cs="宋体"/>
          <w:color w:val="auto"/>
          <w:szCs w:val="21"/>
          <w:lang w:val="en-US" w:eastAsia="zh-CN"/>
        </w:rPr>
        <w:t>3</w:t>
      </w:r>
      <w:r>
        <w:rPr>
          <w:rFonts w:hint="eastAsia" w:ascii="宋体" w:hAnsi="宋体" w:eastAsia="宋体" w:cs="宋体"/>
          <w:color w:val="auto"/>
          <w:szCs w:val="21"/>
        </w:rPr>
        <w:t>个方面的</w:t>
      </w:r>
      <w:r>
        <w:rPr>
          <w:rFonts w:hint="eastAsia" w:ascii="宋体" w:hAnsi="宋体" w:eastAsia="宋体" w:cs="宋体"/>
          <w:color w:val="auto"/>
          <w:szCs w:val="21"/>
          <w:lang w:val="en-US" w:eastAsia="zh-CN"/>
        </w:rPr>
        <w:t>不足</w:t>
      </w:r>
      <w:r>
        <w:rPr>
          <w:rFonts w:hint="eastAsia" w:ascii="宋体" w:hAnsi="宋体" w:eastAsia="宋体" w:cs="宋体"/>
          <w:color w:val="auto"/>
          <w:szCs w:val="21"/>
        </w:rPr>
        <w:t>落实了整改部门。</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3.为持续改进而策划的活动的进展企业对识别的关键测量过程进行了持续的控制，</w:t>
      </w:r>
      <w:r>
        <w:rPr>
          <w:rFonts w:hint="eastAsia" w:ascii="宋体" w:hAnsi="宋体" w:eastAsia="宋体" w:cs="宋体"/>
          <w:bCs/>
          <w:color w:val="auto"/>
          <w:kern w:val="0"/>
          <w:szCs w:val="21"/>
          <w:lang w:val="en-US" w:eastAsia="zh-CN"/>
        </w:rPr>
        <w:t>未</w:t>
      </w:r>
      <w:r>
        <w:rPr>
          <w:rFonts w:hint="eastAsia" w:ascii="宋体" w:hAnsi="宋体" w:eastAsia="宋体" w:cs="宋体"/>
          <w:bCs/>
          <w:color w:val="auto"/>
          <w:kern w:val="0"/>
          <w:szCs w:val="21"/>
        </w:rPr>
        <w:t>增关键测量过程：</w:t>
      </w:r>
    </w:p>
    <w:p>
      <w:pPr>
        <w:widowControl/>
        <w:spacing w:line="360" w:lineRule="auto"/>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a)计量要求的导出和验证：查</w:t>
      </w:r>
      <w:r>
        <w:rPr>
          <w:rFonts w:hint="eastAsia" w:ascii="宋体" w:hAnsi="宋体" w:eastAsia="宋体" w:cs="宋体"/>
          <w:color w:val="auto"/>
          <w:szCs w:val="21"/>
        </w:rPr>
        <w:t>氧化镧稀土总量测定秤重</w:t>
      </w:r>
      <w:r>
        <w:rPr>
          <w:rFonts w:hint="eastAsia" w:ascii="宋体" w:hAnsi="宋体" w:eastAsia="宋体" w:cs="宋体"/>
          <w:color w:val="auto"/>
        </w:rPr>
        <w:t>测量过程，计量要求导出方法正确，验证满足测量过程要求。祥见附件《计量要求导出及验证记录表》</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b)测量不确定评定：查</w:t>
      </w:r>
      <w:r>
        <w:rPr>
          <w:rFonts w:hint="eastAsia" w:ascii="宋体" w:hAnsi="宋体" w:eastAsia="宋体" w:cs="宋体"/>
          <w:color w:val="auto"/>
          <w:szCs w:val="21"/>
        </w:rPr>
        <w:t>氧化镧稀土总量测定秤重</w:t>
      </w:r>
      <w:r>
        <w:rPr>
          <w:rFonts w:hint="eastAsia" w:ascii="宋体" w:hAnsi="宋体" w:eastAsia="宋体" w:cs="宋体"/>
          <w:color w:val="auto"/>
        </w:rPr>
        <w:t>测量过程，测量不确定度评定方法正确。祥见附件《测量不确定度评定》</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c)有效性确认：查</w:t>
      </w:r>
      <w:r>
        <w:rPr>
          <w:rFonts w:hint="eastAsia" w:ascii="宋体" w:hAnsi="宋体" w:eastAsia="宋体" w:cs="宋体"/>
          <w:color w:val="auto"/>
          <w:szCs w:val="21"/>
        </w:rPr>
        <w:t>氧化镧稀土总量测定秤重</w:t>
      </w:r>
      <w:r>
        <w:rPr>
          <w:rFonts w:hint="eastAsia" w:ascii="宋体" w:hAnsi="宋体" w:eastAsia="宋体" w:cs="宋体"/>
          <w:color w:val="auto"/>
        </w:rPr>
        <w:t>测量过程，采用计量比对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进行有效性确认，满足要求。祥见附件《测量过程有效性确认》</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d)测量过程的控制：查</w:t>
      </w:r>
      <w:r>
        <w:rPr>
          <w:rFonts w:hint="eastAsia" w:ascii="宋体" w:hAnsi="宋体" w:eastAsia="宋体" w:cs="宋体"/>
          <w:color w:val="auto"/>
          <w:szCs w:val="21"/>
        </w:rPr>
        <w:t>氧化镧稀土总量测定秤重</w:t>
      </w:r>
      <w:r>
        <w:rPr>
          <w:rFonts w:hint="eastAsia" w:ascii="宋体" w:hAnsi="宋体" w:eastAsia="宋体" w:cs="宋体"/>
          <w:color w:val="auto"/>
        </w:rPr>
        <w:t>测量过程，编制了控制规范，对测量人员、测量设备、测量环境进行控制，满足要求。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e)测量过程的监视：查</w:t>
      </w:r>
      <w:r>
        <w:rPr>
          <w:rFonts w:hint="eastAsia" w:ascii="宋体" w:hAnsi="宋体" w:eastAsia="宋体" w:cs="宋体"/>
          <w:color w:val="auto"/>
          <w:szCs w:val="21"/>
        </w:rPr>
        <w:t>氧化镧稀土总量测定秤重</w:t>
      </w:r>
      <w:r>
        <w:rPr>
          <w:rFonts w:hint="eastAsia" w:ascii="宋体" w:hAnsi="宋体" w:eastAsia="宋体" w:cs="宋体"/>
          <w:color w:val="auto"/>
        </w:rPr>
        <w:t>测量过程，</w:t>
      </w:r>
      <w:r>
        <w:rPr>
          <w:rFonts w:hint="eastAsia" w:ascii="宋体" w:hAnsi="宋体" w:eastAsia="宋体" w:cs="宋体"/>
          <w:color w:val="auto"/>
          <w:kern w:val="0"/>
          <w:szCs w:val="21"/>
        </w:rPr>
        <w:t>采用统计技术进行控制和监视测量过程。祥见《测量过程监视记录》</w:t>
      </w:r>
    </w:p>
    <w:p>
      <w:pPr>
        <w:widowControl/>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f)测量设备的溯源：</w:t>
      </w:r>
      <w:r>
        <w:rPr>
          <w:rFonts w:hint="eastAsia" w:ascii="宋体" w:hAnsi="宋体" w:eastAsia="宋体" w:cs="宋体"/>
          <w:color w:val="auto"/>
          <w:szCs w:val="21"/>
        </w:rPr>
        <w:t>企业未建立最高计量标准，企业测量设备</w:t>
      </w:r>
      <w:r>
        <w:rPr>
          <w:rFonts w:hint="eastAsia" w:ascii="宋体" w:hAnsi="宋体" w:eastAsia="宋体" w:cs="宋体"/>
          <w:color w:val="auto"/>
          <w:szCs w:val="21"/>
          <w:lang w:val="en-US" w:eastAsia="zh-CN"/>
        </w:rPr>
        <w:t>由</w:t>
      </w:r>
      <w:r>
        <w:rPr>
          <w:rFonts w:hint="eastAsia" w:ascii="宋体" w:hAnsi="宋体" w:eastAsia="宋体" w:cs="宋体"/>
          <w:color w:val="auto"/>
          <w:szCs w:val="21"/>
        </w:rPr>
        <w:t>凉山州综合检验检测中心、深圳天溯计量检测有限公司</w:t>
      </w:r>
      <w:r>
        <w:rPr>
          <w:rFonts w:hint="eastAsia" w:ascii="宋体" w:hAnsi="宋体" w:eastAsia="宋体" w:cs="宋体"/>
          <w:color w:val="auto"/>
          <w:szCs w:val="21"/>
          <w:lang w:val="en-US" w:eastAsia="zh-CN"/>
        </w:rPr>
        <w:t>检定/校准，</w:t>
      </w:r>
      <w:r>
        <w:rPr>
          <w:rFonts w:hint="eastAsia" w:ascii="宋体" w:hAnsi="宋体" w:eastAsia="宋体" w:cs="宋体"/>
          <w:color w:val="auto"/>
          <w:szCs w:val="21"/>
        </w:rPr>
        <w:t>抽查</w:t>
      </w:r>
      <w:r>
        <w:rPr>
          <w:rFonts w:hint="eastAsia" w:ascii="宋体" w:hAnsi="宋体" w:eastAsia="宋体" w:cs="宋体"/>
          <w:color w:val="auto"/>
          <w:szCs w:val="21"/>
          <w:lang w:val="en-US" w:eastAsia="zh-CN"/>
        </w:rPr>
        <w:t>8</w:t>
      </w:r>
      <w:r>
        <w:rPr>
          <w:rFonts w:hint="eastAsia" w:ascii="宋体" w:hAnsi="宋体" w:eastAsia="宋体" w:cs="宋体"/>
          <w:color w:val="auto"/>
          <w:szCs w:val="21"/>
        </w:rPr>
        <w:t>台件测量设备，符合量值溯源性管理的要求</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详见附件《测量设备溯源抽查表</w:t>
      </w:r>
    </w:p>
    <w:p>
      <w:pPr>
        <w:widowControl/>
        <w:spacing w:line="360" w:lineRule="auto"/>
        <w:rPr>
          <w:rFonts w:hint="eastAsia" w:ascii="宋体" w:hAnsi="宋体" w:eastAsia="宋体" w:cs="宋体"/>
          <w:color w:val="auto"/>
          <w:szCs w:val="21"/>
        </w:rPr>
      </w:pPr>
      <w:r>
        <w:rPr>
          <w:rFonts w:hint="eastAsia" w:ascii="宋体" w:hAnsi="宋体" w:eastAsia="宋体" w:cs="宋体"/>
          <w:color w:val="auto"/>
          <w:szCs w:val="21"/>
        </w:rPr>
        <w:t>4.能源管理情况：</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企业20</w:t>
      </w:r>
      <w:r>
        <w:rPr>
          <w:rFonts w:hint="eastAsia" w:ascii="宋体" w:hAnsi="宋体" w:eastAsia="宋体" w:cs="宋体"/>
          <w:color w:val="auto"/>
          <w:szCs w:val="21"/>
          <w:lang w:val="en-US" w:eastAsia="zh-CN"/>
        </w:rPr>
        <w:t>22</w:t>
      </w:r>
      <w:r>
        <w:rPr>
          <w:rFonts w:hint="eastAsia" w:ascii="宋体" w:hAnsi="宋体" w:eastAsia="宋体" w:cs="宋体"/>
          <w:color w:val="auto"/>
          <w:szCs w:val="21"/>
        </w:rPr>
        <w:t>年耗能</w:t>
      </w:r>
      <w:r>
        <w:rPr>
          <w:rFonts w:hint="eastAsia" w:ascii="宋体" w:hAnsi="宋体" w:eastAsia="宋体" w:cs="宋体"/>
          <w:bCs/>
          <w:color w:val="auto"/>
          <w:szCs w:val="21"/>
        </w:rPr>
        <w:t>1.8362万吨</w:t>
      </w:r>
      <w:r>
        <w:rPr>
          <w:rFonts w:hint="eastAsia" w:ascii="宋体" w:hAnsi="宋体" w:eastAsia="宋体" w:cs="宋体"/>
          <w:color w:val="auto"/>
          <w:szCs w:val="21"/>
        </w:rPr>
        <w:t>。为重点耗能单位，企业建立了能源管理网络图和能源测量设备明细表，能源测量设备配备率满足要求。</w:t>
      </w:r>
      <w:r>
        <w:rPr>
          <w:rFonts w:hint="eastAsia" w:ascii="宋体" w:hAnsi="宋体" w:eastAsia="宋体" w:cs="宋体"/>
          <w:bCs/>
          <w:color w:val="auto"/>
          <w:szCs w:val="21"/>
        </w:rPr>
        <w:t>进出用能单位应配</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台件实配</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台，进出主要次级用能单位应配</w:t>
      </w:r>
      <w:r>
        <w:rPr>
          <w:rFonts w:hint="eastAsia" w:ascii="宋体" w:hAnsi="宋体" w:eastAsia="宋体" w:cs="宋体"/>
          <w:bCs/>
          <w:color w:val="auto"/>
          <w:szCs w:val="21"/>
          <w:lang w:val="en-US" w:eastAsia="zh-CN"/>
        </w:rPr>
        <w:t>35</w:t>
      </w:r>
      <w:r>
        <w:rPr>
          <w:rFonts w:hint="eastAsia" w:ascii="宋体" w:hAnsi="宋体" w:eastAsia="宋体" w:cs="宋体"/>
          <w:bCs/>
          <w:color w:val="auto"/>
          <w:szCs w:val="21"/>
        </w:rPr>
        <w:t>台件实配</w:t>
      </w:r>
      <w:r>
        <w:rPr>
          <w:rFonts w:hint="eastAsia" w:ascii="宋体" w:hAnsi="宋体" w:eastAsia="宋体" w:cs="宋体"/>
          <w:bCs/>
          <w:color w:val="auto"/>
          <w:szCs w:val="21"/>
          <w:lang w:val="en-US" w:eastAsia="zh-CN"/>
        </w:rPr>
        <w:t>35</w:t>
      </w:r>
      <w:r>
        <w:rPr>
          <w:rFonts w:hint="eastAsia" w:ascii="宋体" w:hAnsi="宋体" w:eastAsia="宋体" w:cs="宋体"/>
          <w:bCs/>
          <w:color w:val="auto"/>
          <w:szCs w:val="21"/>
        </w:rPr>
        <w:t>台件，配备率100%。主要用能设备应配</w:t>
      </w:r>
      <w:r>
        <w:rPr>
          <w:rFonts w:hint="eastAsia" w:ascii="宋体" w:hAnsi="宋体" w:eastAsia="宋体" w:cs="宋体"/>
          <w:bCs/>
          <w:color w:val="auto"/>
          <w:szCs w:val="21"/>
          <w:lang w:val="en-US" w:eastAsia="zh-CN"/>
        </w:rPr>
        <w:t>132</w:t>
      </w:r>
      <w:r>
        <w:rPr>
          <w:rFonts w:hint="eastAsia" w:ascii="宋体" w:hAnsi="宋体" w:eastAsia="宋体" w:cs="宋体"/>
          <w:bCs/>
          <w:color w:val="auto"/>
          <w:szCs w:val="21"/>
        </w:rPr>
        <w:t>台件，实配</w:t>
      </w:r>
      <w:r>
        <w:rPr>
          <w:rFonts w:hint="eastAsia" w:ascii="宋体" w:hAnsi="宋体" w:eastAsia="宋体" w:cs="宋体"/>
          <w:bCs/>
          <w:color w:val="auto"/>
          <w:szCs w:val="21"/>
          <w:lang w:val="en-US" w:eastAsia="zh-CN"/>
        </w:rPr>
        <w:t>125</w:t>
      </w:r>
      <w:r>
        <w:rPr>
          <w:rFonts w:hint="eastAsia" w:ascii="宋体" w:hAnsi="宋体" w:eastAsia="宋体" w:cs="宋体"/>
          <w:bCs/>
          <w:color w:val="auto"/>
          <w:szCs w:val="21"/>
        </w:rPr>
        <w:t>台件，配备率</w:t>
      </w:r>
      <w:r>
        <w:rPr>
          <w:rFonts w:hint="eastAsia" w:ascii="宋体" w:hAnsi="宋体" w:eastAsia="宋体" w:cs="宋体"/>
          <w:bCs/>
          <w:color w:val="auto"/>
          <w:szCs w:val="21"/>
          <w:lang w:val="en-US" w:eastAsia="zh-CN"/>
        </w:rPr>
        <w:t>93</w:t>
      </w:r>
      <w:r>
        <w:rPr>
          <w:rFonts w:hint="eastAsia" w:ascii="宋体" w:hAnsi="宋体" w:eastAsia="宋体" w:cs="宋体"/>
          <w:bCs/>
          <w:color w:val="auto"/>
          <w:szCs w:val="21"/>
        </w:rPr>
        <w:t>%。</w:t>
      </w:r>
      <w:r>
        <w:rPr>
          <w:rFonts w:hint="eastAsia" w:ascii="宋体" w:hAnsi="宋体" w:eastAsia="宋体" w:cs="宋体"/>
          <w:color w:val="auto"/>
          <w:szCs w:val="21"/>
        </w:rPr>
        <w:t>抽查测量设备配备率满足要求，查测量设备检定/校准证书</w:t>
      </w:r>
      <w:r>
        <w:rPr>
          <w:rFonts w:hint="eastAsia" w:ascii="宋体" w:hAnsi="宋体" w:eastAsia="宋体" w:cs="宋体"/>
          <w:color w:val="auto"/>
          <w:szCs w:val="21"/>
          <w:lang w:val="en-US" w:eastAsia="zh-CN"/>
        </w:rPr>
        <w:t>3</w:t>
      </w:r>
      <w:r>
        <w:rPr>
          <w:rFonts w:hint="eastAsia" w:ascii="宋体" w:hAnsi="宋体" w:eastAsia="宋体" w:cs="宋体"/>
          <w:color w:val="auto"/>
          <w:szCs w:val="21"/>
        </w:rPr>
        <w:t>台件，测量设备检定和</w:t>
      </w:r>
      <w:r>
        <w:rPr>
          <w:rFonts w:hint="eastAsia" w:ascii="宋体" w:hAnsi="宋体" w:eastAsia="宋体" w:cs="宋体"/>
          <w:color w:val="auto"/>
          <w:szCs w:val="21"/>
          <w:lang w:val="en-US" w:eastAsia="zh-CN"/>
        </w:rPr>
        <w:t>准确度</w:t>
      </w:r>
      <w:r>
        <w:rPr>
          <w:rFonts w:hint="eastAsia" w:ascii="宋体" w:hAnsi="宋体" w:eastAsia="宋体" w:cs="宋体"/>
          <w:color w:val="auto"/>
          <w:szCs w:val="21"/>
        </w:rPr>
        <w:t>等级满足要求。抽查设备完好率为</w:t>
      </w:r>
      <w:r>
        <w:rPr>
          <w:rFonts w:hint="eastAsia" w:ascii="宋体" w:hAnsi="宋体" w:eastAsia="宋体" w:cs="宋体"/>
          <w:color w:val="auto"/>
          <w:szCs w:val="21"/>
          <w:lang w:val="en-US" w:eastAsia="zh-CN"/>
        </w:rPr>
        <w:t>100</w:t>
      </w:r>
      <w:r>
        <w:rPr>
          <w:rFonts w:hint="eastAsia" w:ascii="宋体" w:hAnsi="宋体" w:eastAsia="宋体" w:cs="宋体"/>
          <w:color w:val="auto"/>
          <w:szCs w:val="21"/>
        </w:rPr>
        <w:t>%。 经过对20</w:t>
      </w:r>
      <w:r>
        <w:rPr>
          <w:rFonts w:hint="eastAsia" w:ascii="宋体" w:hAnsi="宋体" w:eastAsia="宋体" w:cs="宋体"/>
          <w:color w:val="auto"/>
          <w:szCs w:val="21"/>
          <w:lang w:val="en-US" w:eastAsia="zh-CN"/>
        </w:rPr>
        <w:t>23</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rPr>
        <w:t>月能源报表的审核确认，能源报表数据、原始记录同步，并进行了损耗分析，对重要的能源数据能定期进行监视核查，能源计量管理满足GB17167要求。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Cs/>
          <w:color w:val="auto"/>
          <w:szCs w:val="21"/>
        </w:rPr>
        <w:t>5.对认证审核时提出的的不符合项的纠正措施情况有表述</w:t>
      </w:r>
      <w:r>
        <w:rPr>
          <w:rFonts w:hint="eastAsia" w:ascii="宋体" w:hAnsi="宋体" w:eastAsia="宋体" w:cs="宋体"/>
          <w:bCs/>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bCs/>
          <w:color w:val="auto"/>
          <w:kern w:val="0"/>
          <w:szCs w:val="21"/>
        </w:rPr>
        <w:t>查20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年外审</w:t>
      </w:r>
      <w:r>
        <w:rPr>
          <w:rFonts w:hint="eastAsia" w:ascii="宋体" w:hAnsi="宋体" w:eastAsia="宋体" w:cs="宋体"/>
          <w:bCs/>
          <w:color w:val="auto"/>
          <w:kern w:val="0"/>
          <w:szCs w:val="21"/>
          <w:lang w:val="en-US" w:eastAsia="zh-CN"/>
        </w:rPr>
        <w:t>未开具不符合，公司内审</w:t>
      </w:r>
      <w:r>
        <w:rPr>
          <w:rFonts w:hint="eastAsia" w:ascii="宋体" w:hAnsi="宋体" w:eastAsia="宋体" w:cs="宋体"/>
          <w:bCs/>
          <w:color w:val="auto"/>
          <w:szCs w:val="21"/>
        </w:rPr>
        <w:t>开出</w:t>
      </w:r>
      <w:r>
        <w:rPr>
          <w:rFonts w:hint="eastAsia" w:ascii="宋体" w:hAnsi="宋体" w:eastAsia="宋体" w:cs="宋体"/>
          <w:bCs/>
          <w:color w:val="auto"/>
          <w:szCs w:val="21"/>
          <w:lang w:val="en-US" w:eastAsia="zh-CN"/>
        </w:rPr>
        <w:t>的1</w:t>
      </w:r>
      <w:r>
        <w:rPr>
          <w:rFonts w:hint="eastAsia" w:ascii="宋体" w:hAnsi="宋体" w:eastAsia="宋体" w:cs="宋体"/>
          <w:bCs/>
          <w:color w:val="auto"/>
          <w:szCs w:val="21"/>
        </w:rPr>
        <w:t>不符合项，于</w:t>
      </w:r>
      <w:r>
        <w:rPr>
          <w:rFonts w:hint="eastAsia" w:ascii="宋体" w:hAnsi="宋体" w:eastAsia="宋体" w:cs="宋体"/>
          <w:bCs/>
          <w:color w:val="auto"/>
          <w:szCs w:val="21"/>
          <w:lang w:val="en-US" w:eastAsia="zh-CN"/>
        </w:rPr>
        <w:t>10</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30</w:t>
      </w:r>
      <w:r>
        <w:rPr>
          <w:rFonts w:hint="eastAsia" w:ascii="宋体" w:hAnsi="宋体" w:eastAsia="宋体" w:cs="宋体"/>
          <w:bCs/>
          <w:color w:val="auto"/>
          <w:szCs w:val="21"/>
        </w:rPr>
        <w:t>日完成整改</w:t>
      </w:r>
      <w:r>
        <w:rPr>
          <w:rFonts w:hint="eastAsia" w:ascii="宋体" w:hAnsi="宋体" w:eastAsia="宋体" w:cs="宋体"/>
          <w:bCs/>
          <w:color w:val="auto"/>
          <w:kern w:val="0"/>
          <w:szCs w:val="21"/>
        </w:rPr>
        <w:t>。验证该不符合项纠正措施有效，同意关闭。</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color w:val="auto"/>
          <w:kern w:val="0"/>
          <w:szCs w:val="21"/>
        </w:rPr>
        <w:t>对</w:t>
      </w:r>
      <w:r>
        <w:rPr>
          <w:rFonts w:hint="eastAsia" w:ascii="宋体" w:hAnsi="宋体" w:eastAsia="宋体" w:cs="宋体"/>
          <w:bCs/>
          <w:color w:val="auto"/>
          <w:szCs w:val="21"/>
        </w:rPr>
        <w:t>投诉的处理</w:t>
      </w:r>
      <w:r>
        <w:rPr>
          <w:rFonts w:hint="eastAsia" w:ascii="宋体" w:hAnsi="宋体" w:eastAsia="宋体" w:cs="宋体"/>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企业202</w:t>
      </w: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年有未有顾客的投诉。</w:t>
      </w:r>
      <w:r>
        <w:rPr>
          <w:rFonts w:hint="eastAsia" w:ascii="宋体" w:hAnsi="宋体" w:eastAsia="宋体" w:cs="宋体"/>
          <w:bCs/>
          <w:color w:val="auto"/>
          <w:szCs w:val="21"/>
        </w:rPr>
        <w:t>企业未有</w:t>
      </w:r>
      <w:r>
        <w:rPr>
          <w:rFonts w:hint="eastAsia" w:ascii="宋体" w:hAnsi="宋体" w:eastAsia="宋体" w:cs="宋体"/>
          <w:bCs/>
          <w:color w:val="auto"/>
          <w:kern w:val="0"/>
          <w:szCs w:val="21"/>
        </w:rPr>
        <w:t>违反法律、法规问题和产品质量问题的投诉或重大质量事故发生。</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szCs w:val="21"/>
        </w:rPr>
        <w:t>测量管理体系在实现获证客户目标方面的有效性及持续的运作控制</w:t>
      </w:r>
      <w:r>
        <w:rPr>
          <w:rFonts w:hint="eastAsia" w:ascii="宋体" w:hAnsi="宋体" w:eastAsia="宋体" w:cs="宋体"/>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szCs w:val="21"/>
        </w:rPr>
        <w:t>公司制定了</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项质量目标，对目标进行了分解，查20</w:t>
      </w:r>
      <w:r>
        <w:rPr>
          <w:rFonts w:hint="eastAsia" w:ascii="宋体" w:hAnsi="宋体" w:eastAsia="宋体" w:cs="宋体"/>
          <w:bCs/>
          <w:color w:val="auto"/>
          <w:szCs w:val="21"/>
          <w:lang w:val="en-US" w:eastAsia="zh-CN"/>
        </w:rPr>
        <w:t>22</w:t>
      </w:r>
      <w:r>
        <w:rPr>
          <w:rFonts w:hint="eastAsia" w:ascii="宋体" w:hAnsi="宋体" w:eastAsia="宋体" w:cs="宋体"/>
          <w:bCs/>
          <w:color w:val="auto"/>
          <w:szCs w:val="21"/>
        </w:rPr>
        <w:t>年1月到</w:t>
      </w:r>
      <w:r>
        <w:rPr>
          <w:rFonts w:hint="eastAsia" w:ascii="宋体" w:hAnsi="宋体" w:eastAsia="宋体" w:cs="宋体"/>
          <w:bCs/>
          <w:color w:val="auto"/>
          <w:szCs w:val="21"/>
          <w:lang w:val="en-US" w:eastAsia="zh-CN"/>
        </w:rPr>
        <w:t>12</w:t>
      </w:r>
      <w:r>
        <w:rPr>
          <w:rFonts w:hint="eastAsia" w:ascii="宋体" w:hAnsi="宋体" w:eastAsia="宋体" w:cs="宋体"/>
          <w:bCs/>
          <w:color w:val="auto"/>
          <w:szCs w:val="21"/>
        </w:rPr>
        <w:t>月质量目标完成情况检查表，按目标、措施、完成情况、未完成情况进行统计，记录内容全，每月统计，质量目标管理满足要求。</w:t>
      </w:r>
    </w:p>
    <w:p>
      <w:pPr>
        <w:widowControl/>
        <w:numPr>
          <w:ilvl w:val="0"/>
          <w:numId w:val="1"/>
        </w:num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对企业组织任何变更的审核</w:t>
      </w:r>
    </w:p>
    <w:p>
      <w:pPr>
        <w:widowControl/>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企业营业执照和组织机构未发生变化。</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szCs w:val="21"/>
        </w:rPr>
        <w:t>标志的使用和（或）任何其他对认证资</w:t>
      </w:r>
      <w:r>
        <w:rPr>
          <w:rFonts w:hint="eastAsia" w:ascii="宋体" w:hAnsi="宋体" w:eastAsia="宋体" w:cs="宋体"/>
          <w:bCs/>
          <w:color w:val="auto"/>
        </w:rPr>
        <w:t>格引用</w:t>
      </w:r>
      <w:r>
        <w:rPr>
          <w:rFonts w:hint="eastAsia" w:ascii="宋体" w:hAnsi="宋体" w:eastAsia="宋体" w:cs="宋体"/>
          <w:bCs/>
          <w:color w:val="auto"/>
          <w:kern w:val="0"/>
          <w:szCs w:val="21"/>
        </w:rPr>
        <w:t>的情况：</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 xml:space="preserve"> </w:t>
      </w:r>
      <w:r>
        <w:rPr>
          <w:rFonts w:hint="eastAsia" w:ascii="宋体" w:hAnsi="宋体" w:eastAsia="宋体" w:cs="宋体"/>
          <w:bCs/>
          <w:color w:val="auto"/>
          <w:kern w:val="0"/>
          <w:szCs w:val="21"/>
          <w:lang w:val="en-US" w:eastAsia="zh-CN"/>
        </w:rPr>
        <w:t xml:space="preserve">  </w:t>
      </w:r>
      <w:r>
        <w:rPr>
          <w:rFonts w:hint="eastAsia" w:ascii="宋体" w:hAnsi="宋体" w:eastAsia="宋体" w:cs="宋体"/>
          <w:bCs/>
          <w:color w:val="auto"/>
          <w:kern w:val="0"/>
          <w:szCs w:val="21"/>
        </w:rPr>
        <w:t>用于企业的形象宣传。</w:t>
      </w:r>
    </w:p>
    <w:p>
      <w:pPr>
        <w:widowControl/>
        <w:numPr>
          <w:ilvl w:val="0"/>
          <w:numId w:val="0"/>
        </w:num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r>
        <w:rPr>
          <w:rFonts w:hint="eastAsia" w:ascii="宋体" w:hAnsi="宋体" w:eastAsia="宋体" w:cs="宋体"/>
          <w:bCs/>
          <w:color w:val="auto"/>
          <w:szCs w:val="21"/>
        </w:rPr>
        <w:t>本次监督审核发现不符合</w:t>
      </w:r>
      <w:r>
        <w:rPr>
          <w:rFonts w:hint="eastAsia" w:ascii="宋体" w:hAnsi="宋体" w:eastAsia="宋体" w:cs="宋体"/>
          <w:bCs/>
          <w:color w:val="auto"/>
          <w:szCs w:val="21"/>
          <w:lang w:val="en-US" w:eastAsia="zh-CN"/>
        </w:rPr>
        <w:t>1项</w:t>
      </w:r>
      <w:r>
        <w:rPr>
          <w:rFonts w:hint="eastAsia" w:ascii="宋体" w:hAnsi="宋体" w:eastAsia="宋体" w:cs="宋体"/>
          <w:bCs/>
          <w:color w:val="auto"/>
          <w:szCs w:val="21"/>
        </w:rPr>
        <w:t>，未发现严重的或系统性的不符合情况</w:t>
      </w:r>
      <w:r>
        <w:rPr>
          <w:rFonts w:hint="eastAsia" w:ascii="宋体" w:hAnsi="宋体" w:eastAsia="宋体" w:cs="宋体"/>
          <w:bCs/>
          <w:color w:val="auto"/>
          <w:szCs w:val="21"/>
          <w:lang w:eastAsia="zh-CN"/>
        </w:rPr>
        <w:t>。</w:t>
      </w:r>
    </w:p>
    <w:p>
      <w:pPr>
        <w:widowControl/>
        <w:spacing w:line="360" w:lineRule="auto"/>
        <w:rPr>
          <w:rFonts w:hint="eastAsia" w:ascii="宋体" w:hAnsi="宋体" w:eastAsia="宋体" w:cs="宋体"/>
          <w:color w:val="auto"/>
          <w:kern w:val="0"/>
          <w:szCs w:val="21"/>
          <w:lang w:val="en-US" w:eastAsia="zh-CN"/>
        </w:rPr>
      </w:pPr>
      <w:r>
        <w:rPr>
          <w:rFonts w:hint="eastAsia" w:ascii="宋体" w:hAnsi="宋体" w:eastAsia="宋体" w:cs="宋体"/>
          <w:bCs/>
          <w:color w:val="auto"/>
          <w:kern w:val="0"/>
          <w:szCs w:val="21"/>
          <w:lang w:val="en-US" w:eastAsia="zh-CN"/>
        </w:rPr>
        <w:t>10.1</w:t>
      </w:r>
      <w:r>
        <w:rPr>
          <w:rFonts w:hint="eastAsia" w:ascii="宋体" w:hAnsi="宋体" w:eastAsia="宋体" w:cs="宋体"/>
          <w:color w:val="auto"/>
          <w:kern w:val="0"/>
          <w:szCs w:val="21"/>
          <w:lang w:val="en-US" w:eastAsia="zh-CN"/>
        </w:rPr>
        <w:t>查选矿厂，编号为1704104ICS型电子皮带秤计量确认记录，没有规定验证依据，不符合GB/T19022-2003标准7.1.1条的要求</w:t>
      </w:r>
    </w:p>
    <w:p>
      <w:pPr>
        <w:widowControl/>
        <w:numPr>
          <w:ilvl w:val="0"/>
          <w:numId w:val="0"/>
        </w:numPr>
        <w:spacing w:line="360" w:lineRule="auto"/>
        <w:ind w:leftChars="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11.产品的销售</w:t>
      </w:r>
    </w:p>
    <w:p>
      <w:pPr>
        <w:widowControl/>
        <w:numPr>
          <w:ilvl w:val="0"/>
          <w:numId w:val="0"/>
        </w:numPr>
        <w:spacing w:line="360" w:lineRule="auto"/>
        <w:ind w:leftChars="0" w:firstLine="420" w:firstLineChars="200"/>
        <w:rPr>
          <w:rFonts w:hint="eastAsia" w:ascii="宋体" w:hAnsi="宋体" w:eastAsia="宋体" w:cs="宋体"/>
          <w:color w:val="auto"/>
          <w:kern w:val="0"/>
          <w:szCs w:val="21"/>
          <w:lang w:val="en-US" w:eastAsia="zh-CN"/>
        </w:rPr>
      </w:pPr>
      <w:r>
        <w:rPr>
          <w:rFonts w:hint="eastAsia" w:ascii="宋体" w:hAnsi="宋体" w:eastAsia="宋体" w:cs="宋体"/>
          <w:color w:val="auto"/>
          <w:szCs w:val="21"/>
        </w:rPr>
        <w:t>抽查稀土冶炼分离产品、钕铁硼速凝薄片合金、镨钕合金、氟碳铈镧矿精矿、萤石和重晶石粉产品的销售合同，合同编号</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SCJTXT20220921-PN01，</w:t>
      </w:r>
      <w:r>
        <w:rPr>
          <w:rFonts w:hint="eastAsia" w:ascii="宋体" w:hAnsi="宋体" w:eastAsia="宋体" w:cs="宋体"/>
          <w:color w:val="auto"/>
          <w:szCs w:val="21"/>
        </w:rPr>
        <w:t>签订时间</w:t>
      </w:r>
      <w:r>
        <w:rPr>
          <w:rFonts w:hint="eastAsia" w:ascii="宋体" w:hAnsi="宋体" w:eastAsia="宋体" w:cs="宋体"/>
          <w:color w:val="auto"/>
          <w:szCs w:val="21"/>
          <w:lang w:val="en-US" w:eastAsia="zh-CN"/>
        </w:rPr>
        <w:t>2022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9</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21</w:t>
      </w:r>
      <w:r>
        <w:rPr>
          <w:rFonts w:hint="eastAsia" w:ascii="宋体" w:hAnsi="宋体" w:eastAsia="宋体" w:cs="宋体"/>
          <w:color w:val="auto"/>
          <w:szCs w:val="21"/>
        </w:rPr>
        <w:t>日。确认企业对应的产品生产过程涉及有对应的测量过程和测量设备，测量设备的配备可满足该合同产品的生产和检验要求。</w:t>
      </w:r>
    </w:p>
    <w:p>
      <w:pPr>
        <w:widowControl/>
        <w:spacing w:line="360" w:lineRule="auto"/>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snapToGrid w:val="0"/>
        <w:spacing w:line="360" w:lineRule="auto"/>
        <w:ind w:right="-512" w:rightChars="-244" w:firstLine="420" w:firstLineChars="200"/>
        <w:rPr>
          <w:rFonts w:ascii="宋体" w:hAnsi="宋体"/>
          <w:szCs w:val="21"/>
        </w:rPr>
      </w:pPr>
      <w:r>
        <w:rPr>
          <w:rStyle w:val="10"/>
          <w:rFonts w:hint="eastAsia" w:ascii="宋体" w:hAnsi="宋体" w:eastAsia="宋体" w:cs="宋体"/>
          <w:color w:val="auto"/>
          <w:sz w:val="21"/>
          <w:szCs w:val="21"/>
        </w:rPr>
        <w:t>通过2</w:t>
      </w:r>
      <w:r>
        <w:rPr>
          <w:rStyle w:val="10"/>
          <w:rFonts w:hint="eastAsia" w:ascii="宋体" w:hAnsi="宋体" w:eastAsia="宋体" w:cs="宋体"/>
          <w:color w:val="auto"/>
          <w:sz w:val="21"/>
          <w:szCs w:val="21"/>
          <w:lang w:val="en-US" w:eastAsia="zh-CN"/>
        </w:rPr>
        <w:t>023</w:t>
      </w:r>
      <w:r>
        <w:rPr>
          <w:rStyle w:val="10"/>
          <w:rFonts w:hint="eastAsia" w:ascii="宋体" w:hAnsi="宋体" w:eastAsia="宋体" w:cs="宋体"/>
          <w:color w:val="auto"/>
          <w:sz w:val="21"/>
          <w:szCs w:val="21"/>
        </w:rPr>
        <w:t>年</w:t>
      </w:r>
      <w:r>
        <w:rPr>
          <w:rStyle w:val="10"/>
          <w:rFonts w:hint="eastAsia" w:ascii="宋体" w:hAnsi="宋体" w:eastAsia="宋体" w:cs="宋体"/>
          <w:color w:val="auto"/>
          <w:sz w:val="21"/>
          <w:szCs w:val="21"/>
          <w:lang w:val="en-US" w:eastAsia="zh-CN"/>
        </w:rPr>
        <w:t>2</w:t>
      </w:r>
      <w:r>
        <w:rPr>
          <w:rStyle w:val="10"/>
          <w:rFonts w:hint="eastAsia" w:ascii="宋体" w:hAnsi="宋体" w:eastAsia="宋体" w:cs="宋体"/>
          <w:color w:val="auto"/>
          <w:sz w:val="21"/>
          <w:szCs w:val="21"/>
        </w:rPr>
        <w:t>月</w:t>
      </w:r>
      <w:r>
        <w:rPr>
          <w:rStyle w:val="10"/>
          <w:rFonts w:hint="eastAsia" w:ascii="宋体" w:hAnsi="宋体" w:eastAsia="宋体" w:cs="宋体"/>
          <w:color w:val="auto"/>
          <w:sz w:val="21"/>
          <w:szCs w:val="21"/>
          <w:lang w:val="en-US" w:eastAsia="zh-CN"/>
        </w:rPr>
        <w:t>8</w:t>
      </w:r>
      <w:r>
        <w:rPr>
          <w:rStyle w:val="10"/>
          <w:rFonts w:hint="eastAsia" w:ascii="宋体" w:hAnsi="宋体" w:eastAsia="宋体" w:cs="宋体"/>
          <w:color w:val="auto"/>
          <w:sz w:val="21"/>
          <w:szCs w:val="21"/>
        </w:rPr>
        <w:t>日-</w:t>
      </w:r>
      <w:r>
        <w:rPr>
          <w:rStyle w:val="10"/>
          <w:rFonts w:hint="eastAsia" w:ascii="宋体" w:hAnsi="宋体" w:eastAsia="宋体" w:cs="宋体"/>
          <w:color w:val="auto"/>
          <w:sz w:val="21"/>
          <w:szCs w:val="21"/>
          <w:lang w:val="en-US" w:eastAsia="zh-CN"/>
        </w:rPr>
        <w:t>10</w:t>
      </w:r>
      <w:r>
        <w:rPr>
          <w:rStyle w:val="10"/>
          <w:rFonts w:hint="eastAsia" w:ascii="宋体" w:hAnsi="宋体" w:eastAsia="宋体" w:cs="宋体"/>
          <w:color w:val="auto"/>
          <w:sz w:val="21"/>
          <w:szCs w:val="21"/>
        </w:rPr>
        <w:t>日，对</w:t>
      </w:r>
      <w:r>
        <w:rPr>
          <w:rFonts w:hint="eastAsia" w:ascii="宋体" w:hAnsi="宋体" w:eastAsia="宋体" w:cs="宋体"/>
          <w:color w:val="auto"/>
          <w:kern w:val="0"/>
          <w:szCs w:val="21"/>
        </w:rPr>
        <w:t>四川江铜稀土有限责任公司</w:t>
      </w:r>
      <w:r>
        <w:rPr>
          <w:rStyle w:val="10"/>
          <w:rFonts w:hint="eastAsia" w:ascii="宋体" w:hAnsi="宋体" w:eastAsia="宋体" w:cs="宋体"/>
          <w:color w:val="auto"/>
          <w:sz w:val="21"/>
          <w:szCs w:val="21"/>
        </w:rPr>
        <w:t>监督审核</w:t>
      </w:r>
      <w:r>
        <w:rPr>
          <w:rFonts w:hint="eastAsia" w:ascii="宋体" w:hAnsi="宋体" w:eastAsia="宋体" w:cs="宋体"/>
          <w:bCs/>
          <w:color w:val="auto"/>
          <w:szCs w:val="21"/>
        </w:rPr>
        <w:t>.验证了公司在去年一年内，测量管理体系运作情况，</w:t>
      </w:r>
      <w:r>
        <w:rPr>
          <w:rFonts w:hint="eastAsia" w:ascii="宋体" w:hAnsi="宋体" w:eastAsia="宋体" w:cs="宋体"/>
          <w:color w:val="auto"/>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宋体" w:hAnsi="宋体" w:eastAsia="宋体" w:cs="宋体"/>
          <w:color w:val="auto"/>
          <w:kern w:val="0"/>
          <w:szCs w:val="21"/>
        </w:rPr>
        <w:t>四川江铜稀土有限责任公司</w:t>
      </w:r>
      <w:r>
        <w:rPr>
          <w:rFonts w:hint="eastAsia" w:ascii="宋体" w:hAnsi="宋体" w:eastAsia="宋体" w:cs="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1501775</wp:posOffset>
            </wp:positionH>
            <wp:positionV relativeFrom="paragraph">
              <wp:posOffset>29210</wp:posOffset>
            </wp:positionV>
            <wp:extent cx="360680" cy="277495"/>
            <wp:effectExtent l="0" t="0" r="7620" b="190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60680" cy="277495"/>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2023.2.10</w:t>
      </w:r>
    </w:p>
    <w:p>
      <w:pPr>
        <w:widowControl/>
        <w:spacing w:line="360" w:lineRule="auto"/>
        <w:jc w:val="left"/>
        <w:rPr>
          <w:rFonts w:ascii="宋体" w:hAnsi="宋体" w:eastAsia="宋体" w:cs="宋体"/>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3360" behindDoc="0" locked="0" layoutInCell="1" allowOverlap="1">
            <wp:simplePos x="0" y="0"/>
            <wp:positionH relativeFrom="column">
              <wp:posOffset>1335405</wp:posOffset>
            </wp:positionH>
            <wp:positionV relativeFrom="paragraph">
              <wp:posOffset>205740</wp:posOffset>
            </wp:positionV>
            <wp:extent cx="664210" cy="455930"/>
            <wp:effectExtent l="0" t="0" r="8890" b="127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7"/>
                    <a:stretch>
                      <a:fillRect/>
                    </a:stretch>
                  </pic:blipFill>
                  <pic:spPr>
                    <a:xfrm>
                      <a:off x="0" y="0"/>
                      <a:ext cx="664210" cy="455930"/>
                    </a:xfrm>
                    <a:prstGeom prst="rect">
                      <a:avLst/>
                    </a:prstGeom>
                    <a:solidFill>
                      <a:schemeClr val="bg1">
                        <a:alpha val="0"/>
                      </a:schemeClr>
                    </a:solidFill>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2023.2.10</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75338DA"/>
    <w:rsid w:val="0C660D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2</TotalTime>
  <ScaleCrop>false</ScaleCrop>
  <LinksUpToDate>false</LinksUpToDate>
  <CharactersWithSpaces>2165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2023-02-10T03:37:57Z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D549F0001C0646EFA851F8CEDC9C4552</vt:lpwstr>
  </property>
</Properties>
</file>