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0104-2023-E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河北竹九路桥科技有限公司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河北竹九路桥科技有限公司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衡水市冀州区滏阳西路1368号</w:t>
            </w:r>
            <w:bookmarkEnd w:id="6"/>
          </w:p>
        </w:tc>
        <w:tc>
          <w:tcPr>
            <w:tcW w:w="1242" w:type="dxa"/>
            <w:vMerge w:val="restart"/>
            <w:vAlign w:val="center"/>
          </w:tcPr>
          <w:p>
            <w:r>
              <w:rPr>
                <w:rFonts w:hint="eastAsia"/>
              </w:rPr>
              <w:t>邮编</w:t>
            </w:r>
          </w:p>
        </w:tc>
        <w:tc>
          <w:tcPr>
            <w:tcW w:w="1771" w:type="dxa"/>
          </w:tcPr>
          <w:p>
            <w:bookmarkStart w:id="7" w:name="注册邮编"/>
            <w:r>
              <w:t>053200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衡水市冀州区滏阳西路1368号</w:t>
            </w:r>
            <w:bookmarkEnd w:id="8"/>
          </w:p>
        </w:tc>
        <w:tc>
          <w:tcPr>
            <w:tcW w:w="1242" w:type="dxa"/>
            <w:vMerge w:val="continue"/>
            <w:vAlign w:val="center"/>
          </w:tcPr>
          <w:p/>
        </w:tc>
        <w:tc>
          <w:tcPr>
            <w:tcW w:w="1771" w:type="dxa"/>
          </w:tcPr>
          <w:p>
            <w:bookmarkStart w:id="9" w:name="办公邮编"/>
            <w:r>
              <w:t>053200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陈玉良</w:t>
            </w:r>
            <w:bookmarkEnd w:id="10"/>
          </w:p>
        </w:tc>
        <w:tc>
          <w:tcPr>
            <w:tcW w:w="1313" w:type="dxa"/>
            <w:vAlign w:val="center"/>
          </w:tcPr>
          <w:p>
            <w:r>
              <w:rPr>
                <w:rFonts w:hint="eastAsia"/>
              </w:rPr>
              <w:t>电话.</w:t>
            </w:r>
          </w:p>
        </w:tc>
        <w:tc>
          <w:tcPr>
            <w:tcW w:w="2180" w:type="dxa"/>
            <w:vAlign w:val="center"/>
          </w:tcPr>
          <w:p>
            <w:bookmarkStart w:id="11" w:name="联系人电话"/>
            <w:r>
              <w:t>15931381665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司振伟</w:t>
            </w:r>
            <w:bookmarkEnd w:id="13"/>
          </w:p>
        </w:tc>
        <w:tc>
          <w:tcPr>
            <w:tcW w:w="1313" w:type="dxa"/>
            <w:vAlign w:val="center"/>
          </w:tcPr>
          <w:p>
            <w:r>
              <w:rPr>
                <w:rFonts w:hint="eastAsia"/>
              </w:rPr>
              <w:t>管理者代表</w:t>
            </w:r>
          </w:p>
        </w:tc>
        <w:tc>
          <w:tcPr>
            <w:tcW w:w="2180" w:type="dxa"/>
          </w:tcPr>
          <w:p>
            <w:bookmarkStart w:id="14" w:name="管理者代表"/>
            <w:r>
              <w:t>陈玉良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pPr>
          </w:p>
        </w:tc>
        <w:tc>
          <w:tcPr>
            <w:tcW w:w="8058" w:type="dxa"/>
            <w:gridSpan w:val="5"/>
            <w:shd w:val="clear" w:color="auto" w:fill="auto"/>
            <w:vAlign w:val="top"/>
          </w:tcPr>
          <w:p>
            <w:pPr>
              <w:tabs>
                <w:tab w:val="left" w:pos="360"/>
              </w:tabs>
              <w:ind w:left="360" w:leftChars="0" w:hanging="360" w:firstLineChars="0"/>
            </w:pPr>
            <w:r>
              <w:drawing>
                <wp:inline distT="0" distB="0" distL="114300" distR="114300">
                  <wp:extent cx="1810385" cy="2517775"/>
                  <wp:effectExtent l="0" t="0" r="57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810385" cy="2517775"/>
                          </a:xfrm>
                          <a:prstGeom prst="rect">
                            <a:avLst/>
                          </a:prstGeom>
                          <a:noFill/>
                          <a:ln>
                            <a:noFill/>
                          </a:ln>
                        </pic:spPr>
                      </pic:pic>
                    </a:graphicData>
                  </a:graphic>
                </wp:inline>
              </w:drawing>
            </w:r>
            <w:r>
              <w:drawing>
                <wp:inline distT="0" distB="0" distL="114300" distR="114300">
                  <wp:extent cx="3048000" cy="2472055"/>
                  <wp:effectExtent l="0" t="0" r="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3048000" cy="2472055"/>
                          </a:xfrm>
                          <a:prstGeom prst="rect">
                            <a:avLst/>
                          </a:prstGeom>
                          <a:noFill/>
                          <a:ln>
                            <a:noFill/>
                          </a:ln>
                        </pic:spPr>
                      </pic:pic>
                    </a:graphicData>
                  </a:graphic>
                </wp:inline>
              </w:drawing>
            </w:r>
            <w:r>
              <w:drawing>
                <wp:inline distT="0" distB="0" distL="114300" distR="114300">
                  <wp:extent cx="2348230" cy="3498850"/>
                  <wp:effectExtent l="0" t="0" r="1270" b="635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2348230" cy="3498850"/>
                          </a:xfrm>
                          <a:prstGeom prst="rect">
                            <a:avLst/>
                          </a:prstGeom>
                          <a:noFill/>
                          <a:ln>
                            <a:noFill/>
                          </a:ln>
                        </pic:spPr>
                      </pic:pic>
                    </a:graphicData>
                  </a:graphic>
                </wp:inline>
              </w:drawing>
            </w:r>
            <w:r>
              <w:drawing>
                <wp:inline distT="0" distB="0" distL="114300" distR="114300">
                  <wp:extent cx="2338070" cy="3465195"/>
                  <wp:effectExtent l="0" t="0" r="11430" b="190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2338070" cy="3465195"/>
                          </a:xfrm>
                          <a:prstGeom prst="rect">
                            <a:avLst/>
                          </a:prstGeom>
                          <a:noFill/>
                          <a:ln>
                            <a:noFill/>
                          </a:ln>
                        </pic:spPr>
                      </pic:pic>
                    </a:graphicData>
                  </a:graphic>
                </wp:inline>
              </w:drawing>
            </w:r>
            <w:r>
              <w:drawing>
                <wp:inline distT="0" distB="0" distL="114300" distR="114300">
                  <wp:extent cx="2387600" cy="2467610"/>
                  <wp:effectExtent l="0" t="0" r="0" b="889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0"/>
                          <a:stretch>
                            <a:fillRect/>
                          </a:stretch>
                        </pic:blipFill>
                        <pic:spPr>
                          <a:xfrm>
                            <a:off x="0" y="0"/>
                            <a:ext cx="2387600" cy="2467610"/>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2023年01月12日 上午至2023年01月13日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衡水市冀州区滏阳西路1368号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b/>
                <w:sz w:val="20"/>
              </w:rPr>
              <w:t>（远程审核沟通工具：微信、电话）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公路桥梁支座、桥梁伸缩缝装置、止水带的生产所涉及场所的相关环境管理活动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14.01.02;17.06.01;17.12.05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河北竹九路桥科技有限公司</w:t>
            </w:r>
            <w:r>
              <w:rPr>
                <w:rFonts w:hint="eastAsia"/>
                <w:sz w:val="21"/>
                <w:szCs w:val="21"/>
                <w:lang w:val="en-US" w:eastAsia="zh-CN"/>
              </w:rPr>
              <w:t>/</w:t>
            </w:r>
            <w:r>
              <w:rPr>
                <w:sz w:val="21"/>
                <w:szCs w:val="21"/>
              </w:rPr>
              <w:t>衡水市冀州区滏阳西路1368号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衡水市冀州区滏阳西路1368号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803" w:type="dxa"/>
            <w:vAlign w:val="center"/>
          </w:tcPr>
          <w:p>
            <w:pPr>
              <w:pStyle w:val="21"/>
              <w:rPr>
                <w:rFonts w:ascii="Times New Roman" w:hAnsi="Times New Roman" w:eastAsia="黑体" w:cs="Arial"/>
                <w:kern w:val="2"/>
                <w:sz w:val="21"/>
                <w:szCs w:val="21"/>
                <w:lang w:val="en-US" w:eastAsia="ja-JP" w:bidi="ar-SA"/>
              </w:rPr>
            </w:pPr>
            <w:r>
              <w:t>公路桥梁支座、桥梁伸缩缝装置、止水带的生产所涉及场所的相关环境管理活动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tc>
        <w:tc>
          <w:tcPr>
            <w:tcW w:w="2179" w:type="dxa"/>
            <w:vAlign w:val="center"/>
          </w:tcPr>
          <w:p>
            <w:r>
              <w:t>14.01.02,17.06.01,17.12.05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428625</wp:posOffset>
                  </wp:positionH>
                  <wp:positionV relativeFrom="paragraph">
                    <wp:posOffset>-193675</wp:posOffset>
                  </wp:positionV>
                  <wp:extent cx="237490" cy="800735"/>
                  <wp:effectExtent l="0" t="0" r="12065" b="3810"/>
                  <wp:wrapNone/>
                  <wp:docPr id="13"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a70a62583c0d9032e3c5101938293d0"/>
                          <pic:cNvPicPr>
                            <a:picLocks noChangeAspect="1"/>
                          </pic:cNvPicPr>
                        </pic:nvPicPr>
                        <pic:blipFill>
                          <a:blip r:embed="rId11"/>
                          <a:stretch>
                            <a:fillRect/>
                          </a:stretch>
                        </pic:blipFill>
                        <pic:spPr>
                          <a:xfrm rot="-5400000">
                            <a:off x="0" y="0"/>
                            <a:ext cx="237490" cy="80073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A3"/>
                  </w:r>
                  <w:r>
                    <w:rPr>
                      <w:rFonts w:hint="eastAsia"/>
                    </w:rPr>
                    <w:t>竞争</w:t>
                  </w:r>
                  <w:r>
                    <w:rPr>
                      <w:rFonts w:hint="eastAsia"/>
                    </w:rPr>
                    <w:sym w:font="Wingdings 2" w:char="00A3"/>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A3"/>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A3"/>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A3"/>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Times New Roman"/>
              </w:rPr>
            </w:pPr>
            <w:r>
              <w:rPr>
                <w:rFonts w:hint="eastAsia"/>
              </w:rPr>
              <w:t>最高管</w:t>
            </w:r>
            <w:r>
              <w:rPr>
                <w:rFonts w:hint="eastAsia" w:ascii="Times New Roman" w:hAnsi="Times New Roman" w:eastAsia="宋体" w:cs="Times New Roman"/>
              </w:rPr>
              <w:t>理者制定了文件化的管理体系方针：</w:t>
            </w:r>
          </w:p>
          <w:p>
            <w:pPr>
              <w:shd w:val="clear" w:color="auto" w:fill="EBF1DE" w:themeFill="accent3" w:themeFillTint="32"/>
              <w:rPr>
                <w:rFonts w:hint="eastAsia" w:ascii="新宋体" w:hAnsi="新宋体" w:eastAsia="新宋体"/>
                <w:b/>
                <w:color w:val="000000"/>
                <w:sz w:val="24"/>
              </w:rPr>
            </w:pPr>
            <w:r>
              <w:rPr>
                <w:rFonts w:hint="eastAsia" w:ascii="新宋体" w:hAnsi="新宋体" w:eastAsia="新宋体"/>
                <w:b/>
                <w:color w:val="000000"/>
                <w:sz w:val="24"/>
              </w:rPr>
              <w:t>预防污染、节能降耗、塑造企业形象；全员参与、持续改进、</w:t>
            </w:r>
            <w:r>
              <w:rPr>
                <w:rFonts w:hint="eastAsia" w:ascii="宋体"/>
                <w:b/>
                <w:color w:val="000000"/>
                <w:kern w:val="0"/>
                <w:sz w:val="24"/>
              </w:rPr>
              <w:t>适应社会发展</w:t>
            </w:r>
            <w:r>
              <w:rPr>
                <w:rFonts w:hint="eastAsia" w:ascii="新宋体" w:hAnsi="新宋体" w:eastAsia="新宋体"/>
                <w:b/>
                <w:color w:val="000000"/>
                <w:sz w:val="24"/>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在确定潜在的紧急情况  例如：火灾发生</w:t>
                  </w:r>
                </w:p>
              </w:tc>
              <w:tc>
                <w:tcPr>
                  <w:tcW w:w="3965" w:type="dxa"/>
                </w:tcPr>
                <w:p>
                  <w:pPr>
                    <w:shd w:val="clear" w:color="auto" w:fill="EBF1DE" w:themeFill="accent3" w:themeFillTint="32"/>
                  </w:pPr>
                  <w:r>
                    <w:rPr>
                      <w:rFonts w:hint="eastAsia"/>
                    </w:rPr>
                    <w:t>制定应急预案，定期培训防火常识，定期防火演练</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A3"/>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A3"/>
            </w:r>
            <w:r>
              <w:rPr>
                <w:rFonts w:hint="eastAsia"/>
              </w:rPr>
              <w:t>危废排放</w:t>
            </w:r>
            <w:r>
              <w:rPr>
                <w:rFonts w:hint="eastAsia"/>
              </w:rPr>
              <w:sym w:font="Wingdings 2" w:char="0052"/>
            </w:r>
            <w:r>
              <w:rPr>
                <w:rFonts w:hint="eastAsia"/>
              </w:rPr>
              <w:t>噪声排放</w:t>
            </w:r>
            <w:r>
              <w:rPr>
                <w:rFonts w:hint="eastAsia"/>
              </w:rPr>
              <w:sym w:font="Wingdings 2" w:char="00A3"/>
            </w:r>
            <w:r>
              <w:rPr>
                <w:rFonts w:hint="eastAsia"/>
              </w:rPr>
              <w:t>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r>
              <w:rPr>
                <w:rFonts w:hint="eastAsia"/>
              </w:rPr>
              <w:sym w:font="Wingdings 2" w:char="0052"/>
            </w:r>
            <w:r>
              <w:rPr>
                <w:rFonts w:hint="eastAsia"/>
              </w:rPr>
              <w:t>排污许可证编号：</w:t>
            </w:r>
            <w:r>
              <w:rPr>
                <w:rFonts w:hint="eastAsia"/>
                <w:color w:val="000000"/>
                <w:szCs w:val="18"/>
              </w:rPr>
              <w:t>91131181MAOCXFYG6Y001z</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r>
              <w:rPr>
                <w:rFonts w:hint="eastAsia"/>
                <w:lang w:val="en-US" w:eastAsia="zh-CN"/>
              </w:rPr>
              <w:t>2019年9月</w:t>
            </w:r>
          </w:p>
          <w:p>
            <w:pPr>
              <w:shd w:val="clear" w:color="auto" w:fill="EBF1DE" w:themeFill="accent3" w:themeFillTint="32"/>
              <w:rPr>
                <w:rFonts w:hint="eastAsia"/>
              </w:rPr>
            </w:pPr>
            <w:r>
              <w:rPr>
                <w:rFonts w:hint="eastAsia"/>
              </w:rPr>
              <w:t>□环境影响报告书日期：</w:t>
            </w:r>
          </w:p>
          <w:p>
            <w:pPr>
              <w:shd w:val="clear" w:color="auto" w:fill="EBF1DE" w:themeFill="accent3" w:themeFillTint="32"/>
            </w:pPr>
            <w:r>
              <w:rPr>
                <w:rFonts w:hint="eastAsia"/>
              </w:rPr>
              <w:sym w:font="Wingdings 2" w:char="00A3"/>
            </w: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A3"/>
            </w:r>
            <w:r>
              <w:rPr>
                <w:rFonts w:hint="eastAsia"/>
              </w:rPr>
              <w:t>危废合法处置</w:t>
            </w:r>
            <w:r>
              <w:rPr>
                <w:rFonts w:hint="eastAsia"/>
              </w:rPr>
              <w:sym w:font="Wingdings 2" w:char="0052"/>
            </w:r>
            <w:r>
              <w:rPr>
                <w:rFonts w:hint="eastAsia"/>
              </w:rPr>
              <w:t>使用节能设备</w:t>
            </w:r>
            <w:r>
              <w:rPr>
                <w:rFonts w:hint="eastAsia"/>
              </w:rPr>
              <w:sym w:font="Wingdings 2" w:char="00A3"/>
            </w:r>
            <w:r>
              <w:rPr>
                <w:rFonts w:hint="eastAsia"/>
              </w:rPr>
              <w:t>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rPr>
                  </w:pPr>
                  <w:r>
                    <w:rPr>
                      <w:rFonts w:hint="eastAsia" w:ascii="宋体" w:hAnsi="宋体" w:cs="宋体"/>
                      <w:color w:val="000000"/>
                      <w:szCs w:val="21"/>
                    </w:rPr>
                    <w:t>固废分类收集处理率100%；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各部门</w:t>
                  </w:r>
                </w:p>
              </w:tc>
              <w:tc>
                <w:tcPr>
                  <w:tcW w:w="1774" w:type="dxa"/>
                  <w:shd w:val="clear" w:color="auto" w:fill="auto"/>
                  <w:vAlign w:val="top"/>
                </w:tcPr>
                <w:p>
                  <w:pPr>
                    <w:widowControl/>
                    <w:spacing w:before="40"/>
                    <w:jc w:val="left"/>
                    <w:rPr>
                      <w:rFonts w:hint="default" w:ascii="宋体" w:hAnsi="宋体" w:eastAsia="宋体"/>
                      <w:lang w:val="en-US" w:eastAsia="zh-CN"/>
                    </w:rPr>
                  </w:pPr>
                  <w:r>
                    <w:rPr>
                      <w:rFonts w:hint="eastAsia" w:ascii="宋体" w:hAnsi="宋体" w:cs="宋体"/>
                      <w:bCs/>
                      <w:sz w:val="15"/>
                      <w:szCs w:val="15"/>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rPr>
                  </w:pPr>
                  <w:r>
                    <w:rPr>
                      <w:rFonts w:hint="eastAsia" w:ascii="宋体" w:hAnsi="宋体" w:cs="宋体"/>
                      <w:color w:val="000000"/>
                      <w:szCs w:val="21"/>
                    </w:rPr>
                    <w:t>降低环境污染，噪声、废气达标排放</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环境目标、指标与管理方案</w:t>
                  </w:r>
                  <w:r>
                    <w:rPr>
                      <w:rFonts w:hint="eastAsia" w:cs="Times New Roman"/>
                      <w:lang w:eastAsia="zh-CN"/>
                    </w:rPr>
                    <w:t>、</w:t>
                  </w:r>
                  <w:r>
                    <w:rPr>
                      <w:rFonts w:hint="eastAsia" w:ascii="宋体" w:hAnsi="宋体" w:cs="宋体"/>
                      <w:color w:val="000000"/>
                      <w:szCs w:val="21"/>
                    </w:rPr>
                    <w:t>委托检测</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top"/>
                </w:tcPr>
                <w:p>
                  <w:pPr>
                    <w:widowControl/>
                    <w:spacing w:before="40"/>
                    <w:jc w:val="left"/>
                    <w:rPr>
                      <w:rFonts w:hint="eastAsia" w:ascii="宋体" w:hAnsi="宋体" w:eastAsia="宋体"/>
                      <w:lang w:val="en-US" w:eastAsia="zh-CN"/>
                    </w:rPr>
                  </w:pPr>
                  <w:r>
                    <w:rPr>
                      <w:rFonts w:hint="eastAsia" w:ascii="宋体" w:hAnsi="宋体" w:eastAsia="宋体" w:cs="宋体"/>
                      <w:color w:val="000000"/>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rPr>
                  </w:pPr>
                  <w:r>
                    <w:rPr>
                      <w:rFonts w:hint="eastAsia" w:ascii="宋体" w:hAnsi="宋体" w:eastAsia="宋体" w:cs="宋体"/>
                      <w:color w:val="000000"/>
                      <w:szCs w:val="21"/>
                    </w:rPr>
                    <w:t>无火灾事故发生</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hint="eastAsia" w:ascii="宋体" w:hAnsi="宋体" w:eastAsia="宋体"/>
                      <w:lang w:val="en-US" w:eastAsia="zh-CN"/>
                    </w:rPr>
                  </w:pPr>
                  <w:r>
                    <w:rPr>
                      <w:rFonts w:hint="eastAsia" w:ascii="宋体" w:hAnsi="宋体" w:eastAsia="宋体" w:cs="宋体"/>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立式车床、摇臂钻床、端面卧室组合机床、牛头刨床、端面铣床、氩弧焊机、剪板机等</w:t>
            </w:r>
            <w:r>
              <w:rPr>
                <w:rFonts w:hint="eastAsia"/>
                <w:u w:val="single"/>
              </w:rPr>
              <w:t>）</w:t>
            </w:r>
          </w:p>
          <w:p>
            <w:pPr>
              <w:shd w:val="clear" w:color="auto" w:fill="EBF1DE" w:themeFill="accent3" w:themeFillTint="32"/>
              <w:rPr>
                <w:rFonts w:hint="eastAsia" w:eastAsia="宋体"/>
                <w:u w:val="single"/>
                <w:lang w:eastAsia="zh-CN"/>
              </w:rPr>
            </w:pPr>
            <w:r>
              <w:rPr>
                <w:rFonts w:hint="eastAsia"/>
              </w:rPr>
              <w:t>主要环保设备有：（</w:t>
            </w:r>
            <w:r>
              <w:rPr>
                <w:rFonts w:hint="eastAsia"/>
                <w:lang w:eastAsia="zh-CN"/>
              </w:rPr>
              <w:t>焊烟机、布袋除尘器、管道、风机、</w:t>
            </w:r>
            <w:r>
              <w:rPr>
                <w:rFonts w:hint="eastAsia"/>
                <w:lang w:val="en-US" w:eastAsia="zh-CN"/>
              </w:rPr>
              <w:t>灭火器、消防柜）</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sym w:font="Wingdings 2" w:char="00A3"/>
            </w:r>
            <w:r>
              <w:rPr>
                <w:rFonts w:hint="eastAsia"/>
              </w:rPr>
              <w:t>电梯</w:t>
            </w:r>
            <w:r>
              <w:rPr>
                <w:rFonts w:hint="eastAsia" w:ascii="Wingdings" w:hAnsi="Wingdings"/>
              </w:rPr>
              <w:sym w:font="Wingdings 2" w:char="00A3"/>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sym w:font="Wingdings 2" w:char="00A3"/>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w:t>
            </w:r>
            <w:bookmarkStart w:id="34" w:name="_GoBack"/>
            <w:bookmarkEnd w:id="34"/>
            <w:r>
              <w:rPr>
                <w:rFonts w:hint="eastAsia"/>
              </w:rPr>
              <w:t>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A3"/>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rPr>
                      <w:rFonts w:hint="default" w:ascii="Times New Roman" w:hAnsi="Times New Roman" w:eastAsia="宋体" w:cs="Times New Roman"/>
                      <w:lang w:val="en-US" w:eastAsia="zh-CN"/>
                    </w:rPr>
                  </w:pPr>
                </w:p>
              </w:tc>
              <w:tc>
                <w:tcPr>
                  <w:tcW w:w="3265" w:type="dxa"/>
                </w:tcPr>
                <w:p>
                  <w:pPr>
                    <w:shd w:val="clear" w:color="auto" w:fill="EBF1DE" w:themeFill="accent3" w:themeFillTint="32"/>
                    <w:jc w:val="lef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lang w:eastAsia="zh-CN"/>
                    </w:rPr>
                  </w:pPr>
                  <w:r>
                    <w:rPr>
                      <w:rFonts w:hint="eastAsia" w:ascii="Times New Roman" w:hAnsi="Times New Roman" w:eastAsia="宋体" w:cs="Times New Roman"/>
                    </w:rPr>
                    <w:t>废气排放</w:t>
                  </w:r>
                  <w:r>
                    <w:rPr>
                      <w:rFonts w:hint="eastAsia" w:cs="Times New Roman"/>
                      <w:lang w:eastAsia="zh-CN"/>
                    </w:rPr>
                    <w:t>、</w:t>
                  </w:r>
                  <w:r>
                    <w:rPr>
                      <w:rFonts w:hint="eastAsia"/>
                    </w:rPr>
                    <w:t>粉尘排放</w:t>
                  </w:r>
                </w:p>
              </w:tc>
              <w:tc>
                <w:tcPr>
                  <w:tcW w:w="3665" w:type="dxa"/>
                </w:tcPr>
                <w:p>
                  <w:pPr>
                    <w:numPr>
                      <w:ilvl w:val="0"/>
                      <w:numId w:val="2"/>
                    </w:numPr>
                    <w:rPr>
                      <w:rFonts w:hint="eastAsia" w:ascii="宋体" w:hAnsi="宋体"/>
                      <w:szCs w:val="21"/>
                    </w:rPr>
                  </w:pPr>
                  <w:r>
                    <w:rPr>
                      <w:rFonts w:hint="eastAsia" w:ascii="宋体" w:hAnsi="宋体"/>
                      <w:szCs w:val="21"/>
                    </w:rPr>
                    <w:t>设置废气、粉尘回收、处理装置；</w:t>
                  </w:r>
                </w:p>
                <w:p>
                  <w:pPr>
                    <w:shd w:val="clear" w:color="auto" w:fill="EBF1DE" w:themeFill="accent3" w:themeFillTint="32"/>
                    <w:jc w:val="left"/>
                    <w:rPr>
                      <w:rFonts w:hint="eastAsia" w:ascii="Times New Roman" w:hAnsi="Times New Roman" w:eastAsia="宋体" w:cs="Times New Roman"/>
                    </w:rPr>
                  </w:pPr>
                  <w:r>
                    <w:rPr>
                      <w:rFonts w:hint="eastAsia" w:ascii="宋体" w:hAnsi="宋体"/>
                      <w:szCs w:val="21"/>
                    </w:rPr>
                    <w:t>安装符合排放标准要求的烟囱；</w:t>
                  </w: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噪声排放</w:t>
                  </w:r>
                </w:p>
              </w:tc>
              <w:tc>
                <w:tcPr>
                  <w:tcW w:w="3665" w:type="dxa"/>
                </w:tcPr>
                <w:p>
                  <w:pPr>
                    <w:numPr>
                      <w:ilvl w:val="0"/>
                      <w:numId w:val="3"/>
                    </w:numPr>
                    <w:rPr>
                      <w:rFonts w:hint="eastAsia" w:ascii="宋体" w:hAnsi="宋体"/>
                      <w:szCs w:val="21"/>
                    </w:rPr>
                  </w:pPr>
                  <w:r>
                    <w:rPr>
                      <w:rFonts w:hint="eastAsia" w:ascii="宋体" w:hAnsi="宋体"/>
                      <w:szCs w:val="21"/>
                    </w:rPr>
                    <w:t>优选低噪声设备；</w:t>
                  </w:r>
                </w:p>
                <w:p>
                  <w:pPr>
                    <w:numPr>
                      <w:ilvl w:val="0"/>
                      <w:numId w:val="3"/>
                    </w:numPr>
                    <w:rPr>
                      <w:rFonts w:hint="eastAsia" w:ascii="宋体" w:hAnsi="宋体"/>
                      <w:szCs w:val="21"/>
                    </w:rPr>
                  </w:pPr>
                  <w:r>
                    <w:rPr>
                      <w:rFonts w:hint="eastAsia" w:ascii="宋体" w:hAnsi="宋体"/>
                      <w:szCs w:val="21"/>
                    </w:rPr>
                    <w:t>设备均安置在室内；</w:t>
                  </w:r>
                </w:p>
                <w:p>
                  <w:pPr>
                    <w:numPr>
                      <w:ilvl w:val="0"/>
                      <w:numId w:val="3"/>
                    </w:numPr>
                    <w:rPr>
                      <w:rFonts w:hint="eastAsia" w:ascii="宋体" w:hAnsi="宋体"/>
                      <w:szCs w:val="21"/>
                    </w:rPr>
                  </w:pPr>
                  <w:r>
                    <w:rPr>
                      <w:rFonts w:hint="eastAsia" w:ascii="宋体" w:hAnsi="宋体"/>
                      <w:szCs w:val="21"/>
                    </w:rPr>
                    <w:t>噪声设备安装减震垫；</w:t>
                  </w:r>
                </w:p>
                <w:p>
                  <w:pPr>
                    <w:shd w:val="clear" w:color="auto" w:fill="EBF1DE" w:themeFill="accent3" w:themeFillTint="32"/>
                    <w:jc w:val="left"/>
                    <w:rPr>
                      <w:rFonts w:hint="eastAsia" w:ascii="Times New Roman" w:hAnsi="Times New Roman" w:eastAsia="宋体" w:cs="Times New Roman"/>
                    </w:rPr>
                  </w:pPr>
                  <w:r>
                    <w:rPr>
                      <w:rFonts w:hint="eastAsia" w:ascii="宋体" w:hAnsi="宋体"/>
                      <w:szCs w:val="21"/>
                    </w:rPr>
                    <w:t>车间厂房采用隔声材料处理；</w:t>
                  </w: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固废排放</w:t>
                  </w:r>
                </w:p>
              </w:tc>
              <w:tc>
                <w:tcPr>
                  <w:tcW w:w="3665" w:type="dxa"/>
                </w:tcPr>
                <w:p>
                  <w:pPr>
                    <w:rPr>
                      <w:rFonts w:hint="eastAsia" w:ascii="宋体" w:hAnsi="宋体"/>
                      <w:szCs w:val="21"/>
                    </w:rPr>
                  </w:pPr>
                  <w:r>
                    <w:rPr>
                      <w:rFonts w:hint="eastAsia" w:ascii="宋体" w:hAnsi="宋体"/>
                      <w:szCs w:val="21"/>
                    </w:rPr>
                    <w:t>集中收集送物质回收站以实现综合利用</w:t>
                  </w:r>
                </w:p>
                <w:p>
                  <w:pPr>
                    <w:rPr>
                      <w:rFonts w:hint="eastAsia" w:ascii="宋体" w:hAnsi="宋体"/>
                      <w:szCs w:val="21"/>
                    </w:rPr>
                  </w:pPr>
                  <w:r>
                    <w:rPr>
                      <w:rFonts w:hint="eastAsia" w:ascii="宋体" w:hAnsi="宋体"/>
                      <w:szCs w:val="21"/>
                    </w:rPr>
                    <w:t>设立危废暂存间交由资质单位处理</w:t>
                  </w:r>
                </w:p>
                <w:p>
                  <w:pPr>
                    <w:shd w:val="clear" w:color="auto" w:fill="EBF1DE" w:themeFill="accent3" w:themeFillTint="32"/>
                    <w:jc w:val="left"/>
                    <w:rPr>
                      <w:rFonts w:hint="eastAsia" w:ascii="Times New Roman" w:hAnsi="Times New Roman" w:eastAsia="宋体" w:cs="Times New Roman"/>
                    </w:rPr>
                  </w:pPr>
                  <w:r>
                    <w:rPr>
                      <w:rFonts w:hint="eastAsia" w:ascii="宋体" w:hAnsi="宋体"/>
                      <w:szCs w:val="21"/>
                    </w:rPr>
                    <w:t>卖废品</w:t>
                  </w: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消防栓、灭火器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天车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w:t>
            </w:r>
            <w:r>
              <w:rPr>
                <w:rFonts w:hint="eastAsia"/>
                <w:lang w:val="en-US" w:eastAsia="zh-CN"/>
              </w:rPr>
              <w:t>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《环境监测报告》编号：WT202210-0358。</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8</w:t>
            </w:r>
            <w:r>
              <w:rPr>
                <w:rFonts w:hint="eastAsia"/>
                <w:color w:val="000000"/>
                <w:szCs w:val="18"/>
              </w:rPr>
              <w:t>月</w:t>
            </w:r>
            <w:r>
              <w:rPr>
                <w:rFonts w:hint="eastAsia"/>
                <w:color w:val="000000"/>
                <w:szCs w:val="18"/>
                <w:lang w:val="en-US" w:eastAsia="zh-CN"/>
              </w:rPr>
              <w:t>12-13</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9</w:t>
            </w:r>
            <w:r>
              <w:rPr>
                <w:rFonts w:hint="eastAsia"/>
                <w:color w:val="000000"/>
                <w:szCs w:val="18"/>
              </w:rPr>
              <w:t>月</w:t>
            </w:r>
            <w:r>
              <w:rPr>
                <w:rFonts w:hint="eastAsia"/>
                <w:color w:val="000000"/>
                <w:szCs w:val="18"/>
                <w:lang w:val="en-US" w:eastAsia="zh-CN"/>
              </w:rPr>
              <w:t>5</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0D"/>
    <w:multiLevelType w:val="singleLevel"/>
    <w:tmpl w:val="0000000D"/>
    <w:lvl w:ilvl="0" w:tentative="0">
      <w:start w:val="1"/>
      <w:numFmt w:val="decimal"/>
      <w:suff w:val="nothing"/>
      <w:lvlText w:val="%1、"/>
      <w:lvlJc w:val="left"/>
    </w:lvl>
  </w:abstractNum>
  <w:abstractNum w:abstractNumId="2">
    <w:nsid w:val="5C0601EA"/>
    <w:multiLevelType w:val="singleLevel"/>
    <w:tmpl w:val="5C0601E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03ED1B9A"/>
    <w:rsid w:val="092B680F"/>
    <w:rsid w:val="0A73525B"/>
    <w:rsid w:val="0F54179B"/>
    <w:rsid w:val="1AC56366"/>
    <w:rsid w:val="1E074A3F"/>
    <w:rsid w:val="221E7C3E"/>
    <w:rsid w:val="31D9265F"/>
    <w:rsid w:val="40C13C7A"/>
    <w:rsid w:val="4BFB4C42"/>
    <w:rsid w:val="4C994F4D"/>
    <w:rsid w:val="4F7363E0"/>
    <w:rsid w:val="54257038"/>
    <w:rsid w:val="59B23100"/>
    <w:rsid w:val="5D931564"/>
    <w:rsid w:val="620B44B1"/>
    <w:rsid w:val="635E0612"/>
    <w:rsid w:val="68065AFC"/>
    <w:rsid w:val="711D38BF"/>
    <w:rsid w:val="77910709"/>
    <w:rsid w:val="7D437B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8576</Words>
  <Characters>9182</Characters>
  <Lines>150</Lines>
  <Paragraphs>42</Paragraphs>
  <TotalTime>0</TotalTime>
  <ScaleCrop>false</ScaleCrop>
  <LinksUpToDate>false</LinksUpToDate>
  <CharactersWithSpaces>9307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苗</cp:lastModifiedBy>
  <cp:lastPrinted>2019-05-13T03:19:00Z</cp:lastPrinted>
  <dcterms:modified xsi:type="dcterms:W3CDTF">2023-01-15T13:42:58Z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