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09"/>
        <w:gridCol w:w="943"/>
        <w:gridCol w:w="581"/>
        <w:gridCol w:w="131"/>
        <w:gridCol w:w="653"/>
        <w:gridCol w:w="2010"/>
        <w:gridCol w:w="190"/>
        <w:gridCol w:w="1191"/>
        <w:gridCol w:w="17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四川得丰电气有限公司</w:t>
            </w:r>
          </w:p>
        </w:tc>
        <w:tc>
          <w:tcPr>
            <w:tcW w:w="138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1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E：19.09.01;19.09.02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6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E：19.09.01;19.09.02</w:t>
            </w:r>
            <w:r>
              <w:rPr>
                <w:rFonts w:hint="eastAsia"/>
                <w:b/>
                <w:sz w:val="20"/>
                <w:lang w:eastAsia="zh-CN"/>
              </w:rPr>
              <w:t>（电动机、发电机及变压器的制造</w:t>
            </w:r>
            <w:r>
              <w:rPr>
                <w:rFonts w:hint="eastAsia"/>
                <w:b/>
                <w:sz w:val="20"/>
                <w:lang w:val="en-US" w:eastAsia="zh-CN"/>
              </w:rPr>
              <w:t>；配电及控制装置的制造）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微信视频2月14日19：30-20：00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9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6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0" w:type="dxa"/>
            <w:vAlign w:val="center"/>
          </w:tcPr>
          <w:p>
            <w:pPr>
              <w:snapToGrid w:val="0"/>
              <w:spacing w:line="360" w:lineRule="exact"/>
              <w:jc w:val="center"/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钣金加工、柜体加工</w:t>
            </w:r>
            <w:r>
              <w:rPr>
                <w:rFonts w:ascii="宋体" w:hAnsi="宋体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sz w:val="21"/>
                <w:szCs w:val="21"/>
              </w:rPr>
              <w:t>组装（一次装配，二测装配）</w:t>
            </w:r>
            <w:r>
              <w:rPr>
                <w:rFonts w:ascii="宋体" w:hAnsi="宋体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sz w:val="21"/>
                <w:szCs w:val="21"/>
              </w:rPr>
              <w:t>调试检验</w:t>
            </w:r>
            <w:r>
              <w:rPr>
                <w:rFonts w:ascii="宋体" w:hAnsi="宋体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sz w:val="21"/>
                <w:szCs w:val="21"/>
              </w:rPr>
              <w:t>包装。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充电桩工艺流程：原材料及定制单元检查——入库——装配——装配过程自检及过程抽检——校准、调整——检测入库。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电力变压器（干式）</w:t>
            </w:r>
            <w:r>
              <w:rPr>
                <w:rFonts w:hint="eastAsia"/>
                <w:sz w:val="21"/>
                <w:szCs w:val="21"/>
              </w:rPr>
              <w:t>工艺流程：原材料采购——线圈绕制——线圈浇注——装配——检测入库。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电力变压器（油浸式）</w:t>
            </w:r>
            <w:r>
              <w:rPr>
                <w:rFonts w:hint="eastAsia"/>
                <w:sz w:val="21"/>
                <w:szCs w:val="21"/>
              </w:rPr>
              <w:t>工艺流程：原材料采购——铁芯绝缘制作——装配绝缘制作——线圈绝缘制作——线圈绕制——装配——变压器注油——静放——检测入库。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重要环境因素：</w:t>
            </w:r>
            <w:r>
              <w:rPr>
                <w:rFonts w:hint="eastAsia" w:ascii="宋体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4"/>
                <w:lang w:val="en-US" w:eastAsia="zh-CN" w:bidi="ar-SA"/>
              </w:rPr>
              <w:t>固废排放、潜在火灾、废气排放、噪声排放、化学品泄漏。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4"/>
                <w:lang w:val="en-US" w:eastAsia="zh-CN" w:bidi="ar-SA"/>
              </w:rPr>
              <w:t>控制措施：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4"/>
                <w:lang w:val="en-US" w:eastAsia="zh-CN" w:bidi="ar-SA"/>
              </w:rPr>
              <w:t>1）固废分类收集贮存，定期处理；</w:t>
            </w:r>
          </w:p>
          <w:p>
            <w:pPr>
              <w:pStyle w:val="8"/>
              <w:numPr>
                <w:ilvl w:val="0"/>
                <w:numId w:val="1"/>
              </w:numPr>
              <w:rPr>
                <w:rFonts w:hint="eastAsia" w:ascii="宋体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4"/>
                <w:lang w:val="en-US" w:eastAsia="zh-CN" w:bidi="ar-SA"/>
              </w:rPr>
              <w:t>配置灭火器材，定期培训演练；</w:t>
            </w:r>
          </w:p>
          <w:p>
            <w:pPr>
              <w:numPr>
                <w:ilvl w:val="0"/>
                <w:numId w:val="1"/>
              </w:numPr>
              <w:tabs>
                <w:tab w:val="left" w:pos="1080"/>
              </w:tabs>
              <w:ind w:left="0" w:leftChars="0" w:firstLine="0" w:firstLineChars="0"/>
              <w:jc w:val="left"/>
              <w:rPr>
                <w:rFonts w:hint="eastAsia" w:ascii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废气采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u w:val="none"/>
              </w:rPr>
              <w:t>用</w:t>
            </w:r>
            <w:r>
              <w:rPr>
                <w:rFonts w:hint="eastAsia" w:ascii="宋体"/>
                <w:kern w:val="0"/>
                <w:szCs w:val="21"/>
                <w:u w:val="none"/>
              </w:rPr>
              <w:t>UV光氧净化器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u w:val="none"/>
              </w:rPr>
              <w:t>处理，粉尘采用</w:t>
            </w:r>
            <w:r>
              <w:rPr>
                <w:rFonts w:hint="eastAsia" w:ascii="宋体"/>
                <w:kern w:val="0"/>
                <w:szCs w:val="21"/>
                <w:u w:val="none"/>
              </w:rPr>
              <w:t>滤桶除尘器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u w:val="none"/>
              </w:rPr>
              <w:t>处理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numPr>
                <w:numId w:val="0"/>
              </w:numPr>
              <w:tabs>
                <w:tab w:val="left" w:pos="1080"/>
              </w:tabs>
              <w:ind w:leftChars="0"/>
              <w:jc w:val="left"/>
              <w:rPr>
                <w:rFonts w:hint="eastAsia" w:ascii="宋体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  <w:lang w:val="en-US" w:eastAsia="zh-CN"/>
              </w:rPr>
              <w:t>4）</w:t>
            </w:r>
            <w:r>
              <w:rPr>
                <w:rFonts w:hint="eastAsia" w:ascii="宋体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4"/>
                <w:lang w:val="en-US" w:eastAsia="zh-CN" w:bidi="ar-SA"/>
              </w:rPr>
              <w:t>设备定期维护保养，合理布局等。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4"/>
                <w:lang w:val="en-US" w:eastAsia="zh-CN" w:bidi="ar-SA"/>
              </w:rPr>
              <w:t>中华人民共和国安全消防法、综合污水排放标准（GB8978-1996）三级、大气污染物综合排放标准（GB 16297-1996）、工业企业厂界环境噪声排放标准（GB12348-2008）3类等</w:t>
            </w:r>
            <w:r>
              <w:rPr>
                <w:rFonts w:hint="eastAsia" w:ascii="宋体" w:cs="Times New Roman"/>
                <w:bCs/>
                <w:color w:val="000000"/>
                <w:spacing w:val="10"/>
                <w:kern w:val="2"/>
                <w:sz w:val="24"/>
                <w:szCs w:val="24"/>
                <w:lang w:val="en-US" w:eastAsia="zh-CN" w:bidi="ar-SA"/>
              </w:rPr>
              <w:t>、GB/T3906-2020《高压开关柜标准》、GB/T11022-2020《高压交流开关设备和控制设备标准的共用技术要求》、</w:t>
            </w:r>
            <w:r>
              <w:rPr>
                <w:rFonts w:hint="eastAsia" w:ascii="宋体" w:cs="Times New Roman"/>
                <w:bCs/>
                <w:color w:val="000000"/>
                <w:spacing w:val="10"/>
                <w:kern w:val="2"/>
                <w:sz w:val="24"/>
                <w:szCs w:val="24"/>
                <w:lang w:val="en-US" w:eastAsia="zh-CN" w:bidi="ar-SA"/>
              </w:rPr>
              <w:t>GB/T15576-2020《低压成套无功功率补偿装置》等</w:t>
            </w:r>
            <w:r>
              <w:rPr>
                <w:rFonts w:hint="eastAsia" w:ascii="宋体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4"/>
                <w:lang w:val="en-US" w:eastAsia="zh-CN" w:bidi="ar-SA"/>
              </w:rPr>
              <w:t>提供由四川新绿洲环境检测有限公司提供的环境检测报告，报告编号：川绿检字（2022）第2642号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Times New Roman" w:cs="Times New Roman"/>
                <w:b/>
                <w:sz w:val="22"/>
                <w:szCs w:val="22"/>
              </w:rPr>
            </w:pPr>
            <w:r>
              <w:rPr>
                <w:rFonts w:hint="eastAsia" w:ascii="宋体" w:hAnsi="Times New Roman" w:cs="Times New Roman"/>
                <w:b/>
                <w:sz w:val="22"/>
                <w:szCs w:val="22"/>
                <w:lang w:val="en-US" w:eastAsia="zh-CN"/>
              </w:rPr>
              <w:t>杨珍全</w:t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Times New Roman" w:cs="Times New Roman"/>
                <w:b/>
                <w:sz w:val="22"/>
                <w:szCs w:val="22"/>
              </w:rPr>
            </w:pPr>
            <w:r>
              <w:rPr>
                <w:rFonts w:hint="eastAsia" w:ascii="宋体" w:hAnsi="Times New Roman" w:cs="Times New Roman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Times New Roman" w:cs="Times New Roman"/>
                <w:b/>
                <w:sz w:val="22"/>
                <w:szCs w:val="22"/>
              </w:rPr>
            </w:pPr>
            <w:r>
              <w:rPr>
                <w:rFonts w:hint="eastAsia" w:ascii="宋体" w:hAnsi="Times New Roman" w:cs="Times New Roman"/>
                <w:b/>
                <w:sz w:val="22"/>
                <w:szCs w:val="22"/>
                <w:lang w:val="en-US" w:eastAsia="zh-CN"/>
              </w:rPr>
              <w:t>2023年</w:t>
            </w:r>
            <w:r>
              <w:rPr>
                <w:rFonts w:hint="eastAsia" w:ascii="宋体" w:cs="Times New Roman"/>
                <w:b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Times New Roman" w:cs="Times New Roman"/>
                <w:b/>
                <w:sz w:val="22"/>
                <w:szCs w:val="22"/>
                <w:lang w:val="en-US" w:eastAsia="zh-CN"/>
              </w:rPr>
              <w:t>月1</w:t>
            </w:r>
            <w:r>
              <w:rPr>
                <w:rFonts w:hint="eastAsia" w:ascii="宋体" w:cs="Times New Roman"/>
                <w:b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Times New Roman" w:cs="Times New Roman"/>
                <w:b/>
                <w:sz w:val="22"/>
                <w:szCs w:val="22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Times New Roman" w:cs="Times New Roman"/>
                <w:b/>
                <w:sz w:val="22"/>
                <w:szCs w:val="22"/>
              </w:rPr>
            </w:pPr>
            <w:r>
              <w:rPr>
                <w:rFonts w:hint="eastAsia" w:ascii="宋体" w:hAnsi="Times New Roman" w:cs="Times New Roman"/>
                <w:b/>
                <w:sz w:val="22"/>
                <w:szCs w:val="22"/>
                <w:lang w:val="en-US" w:eastAsia="zh-CN"/>
              </w:rPr>
              <w:t>杨珍全</w:t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Times New Roman" w:cs="Times New Roman"/>
                <w:b/>
                <w:sz w:val="22"/>
                <w:szCs w:val="22"/>
              </w:rPr>
            </w:pPr>
            <w:r>
              <w:rPr>
                <w:rFonts w:hint="eastAsia" w:ascii="宋体" w:hAnsi="Times New Roman" w:cs="Times New Roman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Times New Roman" w:cs="Times New Roman"/>
                <w:b/>
                <w:sz w:val="22"/>
                <w:szCs w:val="22"/>
              </w:rPr>
            </w:pPr>
            <w:r>
              <w:rPr>
                <w:rFonts w:hint="eastAsia" w:ascii="宋体" w:hAnsi="Times New Roman" w:cs="Times New Roman"/>
                <w:b/>
                <w:sz w:val="22"/>
                <w:szCs w:val="22"/>
                <w:lang w:val="en-US" w:eastAsia="zh-CN"/>
              </w:rPr>
              <w:t>2023年</w:t>
            </w:r>
            <w:r>
              <w:rPr>
                <w:rFonts w:hint="eastAsia" w:ascii="宋体" w:cs="Times New Roman"/>
                <w:b/>
                <w:sz w:val="22"/>
                <w:szCs w:val="22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Times New Roman" w:cs="Times New Roman"/>
                <w:b/>
                <w:sz w:val="22"/>
                <w:szCs w:val="22"/>
                <w:lang w:val="en-US" w:eastAsia="zh-CN"/>
              </w:rPr>
              <w:t>月1</w:t>
            </w:r>
            <w:r>
              <w:rPr>
                <w:rFonts w:hint="eastAsia" w:ascii="宋体" w:cs="Times New Roman"/>
                <w:b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Times New Roman" w:cs="Times New Roman"/>
                <w:b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09"/>
        <w:gridCol w:w="943"/>
        <w:gridCol w:w="581"/>
        <w:gridCol w:w="131"/>
        <w:gridCol w:w="653"/>
        <w:gridCol w:w="2010"/>
        <w:gridCol w:w="190"/>
        <w:gridCol w:w="1021"/>
        <w:gridCol w:w="18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四川得丰电气有限公司</w:t>
            </w:r>
          </w:p>
        </w:tc>
        <w:tc>
          <w:tcPr>
            <w:tcW w:w="121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8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O</w:t>
            </w:r>
            <w:r>
              <w:rPr>
                <w:b/>
                <w:sz w:val="20"/>
              </w:rPr>
              <w:t>：19.09.01;19.09.02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6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O</w:t>
            </w:r>
            <w:r>
              <w:rPr>
                <w:b/>
                <w:sz w:val="20"/>
              </w:rPr>
              <w:t>：19.09.01;19.09.02</w:t>
            </w:r>
            <w:r>
              <w:rPr>
                <w:rFonts w:hint="eastAsia"/>
                <w:b/>
                <w:sz w:val="20"/>
                <w:lang w:eastAsia="zh-CN"/>
              </w:rPr>
              <w:t>（电动机、发电机及变压器的制造</w:t>
            </w:r>
            <w:r>
              <w:rPr>
                <w:rFonts w:hint="eastAsia"/>
                <w:b/>
                <w:sz w:val="20"/>
                <w:lang w:val="en-US" w:eastAsia="zh-CN"/>
              </w:rPr>
              <w:t>；配电及控制装置的制造）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微信视频2月14日19：30-20：00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9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653" w:type="dxa"/>
            <w:vAlign w:val="center"/>
          </w:tcPr>
          <w:p>
            <w:pPr>
              <w:snapToGrid w:val="0"/>
              <w:spacing w:line="360" w:lineRule="exact"/>
              <w:jc w:val="center"/>
            </w:pPr>
          </w:p>
        </w:tc>
        <w:tc>
          <w:tcPr>
            <w:tcW w:w="20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钣金加工、柜体加工</w:t>
            </w:r>
            <w:r>
              <w:rPr>
                <w:rFonts w:ascii="宋体" w:hAnsi="宋体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sz w:val="21"/>
                <w:szCs w:val="21"/>
              </w:rPr>
              <w:t>组装（一次装配，二测装配）</w:t>
            </w:r>
            <w:r>
              <w:rPr>
                <w:rFonts w:ascii="宋体" w:hAnsi="宋体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sz w:val="21"/>
                <w:szCs w:val="21"/>
              </w:rPr>
              <w:t>调试检验</w:t>
            </w:r>
            <w:r>
              <w:rPr>
                <w:rFonts w:ascii="宋体" w:hAnsi="宋体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sz w:val="21"/>
                <w:szCs w:val="21"/>
              </w:rPr>
              <w:t>包装。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充电桩工艺流程：原材料及定制单元检查——入库——装配——装配过程自检及过程抽检——校准、调整——检测入库。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电力变压器（干式）</w:t>
            </w:r>
            <w:r>
              <w:rPr>
                <w:rFonts w:hint="eastAsia"/>
                <w:sz w:val="21"/>
                <w:szCs w:val="21"/>
              </w:rPr>
              <w:t>工艺流程：原材料采购——线圈绕制——线圈浇注——装配——检测入库。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电力变压器（油浸式）</w:t>
            </w:r>
            <w:r>
              <w:rPr>
                <w:rFonts w:hint="eastAsia"/>
                <w:sz w:val="21"/>
                <w:szCs w:val="21"/>
              </w:rPr>
              <w:t>工艺流程：原材料采购——铁芯绝缘制作——装配绝缘制作——线圈绝缘制作——线圈绕制——装配——变压器注油——静放——检测入库。</w:t>
            </w:r>
          </w:p>
          <w:p>
            <w:pPr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pStyle w:val="8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不可接受风险：火灾、机械伤害、触电、职业病。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控制措施：1）所有电气设备定期进行维护，定期对线路、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急停按钮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等进行安全检查；2）在</w:t>
            </w:r>
            <w:r>
              <w:rPr>
                <w:rFonts w:hint="eastAsia" w:ascii="宋体"/>
                <w:kern w:val="0"/>
                <w:szCs w:val="21"/>
                <w:highlight w:val="none"/>
              </w:rPr>
              <w:t>剪板机、冲压机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等设备前</w:t>
            </w:r>
            <w:r>
              <w:rPr>
                <w:rFonts w:hint="eastAsia" w:ascii="宋体"/>
                <w:kern w:val="0"/>
                <w:szCs w:val="21"/>
                <w:highlight w:val="none"/>
              </w:rPr>
              <w:t>设置安全挡板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3）作业人员穿戴工作服、口罩、安全帽、耳塞等防护用品防护。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中华人民共和国安全消防法、中华人民共和国安全生产法、中华人民共和国职业病防治法、劳动防护用品管理规定、</w:t>
            </w:r>
            <w:r>
              <w:rPr>
                <w:rFonts w:hint="eastAsia" w:ascii="宋体" w:cs="Times New Roman"/>
                <w:bCs/>
                <w:color w:val="000000"/>
                <w:spacing w:val="10"/>
                <w:kern w:val="2"/>
                <w:sz w:val="24"/>
                <w:szCs w:val="24"/>
                <w:lang w:val="en-US" w:eastAsia="zh-CN" w:bidi="ar-SA"/>
              </w:rPr>
              <w:t>GB/T3906-2020《高压开关柜标准》、GB/T11022-2020《高压交流开关设备和控制设备标准的共用技术要求》、GB/T15576-2020《低压成套无功功率补偿装置》等</w:t>
            </w:r>
            <w:r>
              <w:rPr>
                <w:rFonts w:hint="eastAsia" w:ascii="宋体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提供由广安阿蓝医院出具的职业健康检查总结报告书，编号：广阿蓝职检总报（2022）第111号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Times New Roman" w:cs="Times New Roman"/>
                <w:b/>
                <w:sz w:val="22"/>
                <w:szCs w:val="22"/>
                <w:lang w:val="en-US" w:eastAsia="zh-CN"/>
              </w:rPr>
              <w:t>杨珍全</w:t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Times New Roman" w:cs="Times New Roman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Times New Roman" w:cs="Times New Roman"/>
                <w:b/>
                <w:sz w:val="22"/>
                <w:szCs w:val="22"/>
                <w:lang w:val="en-US" w:eastAsia="zh-CN"/>
              </w:rPr>
              <w:t>2023年</w:t>
            </w:r>
            <w:r>
              <w:rPr>
                <w:rFonts w:hint="eastAsia" w:ascii="宋体" w:cs="Times New Roman"/>
                <w:b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Times New Roman" w:cs="Times New Roman"/>
                <w:b/>
                <w:sz w:val="22"/>
                <w:szCs w:val="22"/>
                <w:lang w:val="en-US" w:eastAsia="zh-CN"/>
              </w:rPr>
              <w:t>月1</w:t>
            </w:r>
            <w:r>
              <w:rPr>
                <w:rFonts w:hint="eastAsia" w:ascii="宋体" w:cs="Times New Roman"/>
                <w:b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Times New Roman" w:cs="Times New Roman"/>
                <w:b/>
                <w:sz w:val="22"/>
                <w:szCs w:val="22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Times New Roman" w:cs="Times New Roman"/>
                <w:b/>
                <w:sz w:val="22"/>
                <w:szCs w:val="22"/>
                <w:lang w:val="en-US" w:eastAsia="zh-CN"/>
              </w:rPr>
              <w:t>杨珍全</w:t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Times New Roman" w:cs="Times New Roman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Times New Roman" w:cs="Times New Roman"/>
                <w:b/>
                <w:sz w:val="22"/>
                <w:szCs w:val="22"/>
                <w:lang w:val="en-US" w:eastAsia="zh-CN"/>
              </w:rPr>
              <w:t>2023年</w:t>
            </w:r>
            <w:r>
              <w:rPr>
                <w:rFonts w:hint="eastAsia" w:ascii="宋体" w:cs="Times New Roman"/>
                <w:b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Times New Roman" w:cs="Times New Roman"/>
                <w:b/>
                <w:sz w:val="22"/>
                <w:szCs w:val="22"/>
                <w:lang w:val="en-US" w:eastAsia="zh-CN"/>
              </w:rPr>
              <w:t>月1</w:t>
            </w:r>
            <w:r>
              <w:rPr>
                <w:rFonts w:hint="eastAsia" w:ascii="宋体" w:cs="Times New Roman"/>
                <w:b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Times New Roman" w:cs="Times New Roman"/>
                <w:b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EC42D1"/>
    <w:multiLevelType w:val="singleLevel"/>
    <w:tmpl w:val="25EC42D1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F0942D3"/>
    <w:rsid w:val="459C4852"/>
    <w:rsid w:val="472745EF"/>
    <w:rsid w:val="5D4E2D37"/>
    <w:rsid w:val="633B34A5"/>
    <w:rsid w:val="71CB2C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1304</Words>
  <Characters>1485</Characters>
  <Lines>2</Lines>
  <Paragraphs>1</Paragraphs>
  <TotalTime>3</TotalTime>
  <ScaleCrop>false</ScaleCrop>
  <LinksUpToDate>false</LinksUpToDate>
  <CharactersWithSpaces>1488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2023-02-15T05:06:35Z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