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安涛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2017-N1QMS-1211720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甘肃卓远品牌咨询管理有限公司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ISC-211720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杨震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副高级工程师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甘肃中商食品质量检验检测有限公司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Q:03.07.01,30.05.00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O:03.07.01,30.05.00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ISC-JSZJ-091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兰州民生早餐食品有限公司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甘肃兰州市城关区九州东环路主食厨房工业园区C2-2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730000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甘肃兰州市城关区九州东环路主食厨房工业园区C2-2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730000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甘肃兰州市城关区九州东环路主食厨房工业园区C2-2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730000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雒凯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13359409150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吕旭博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谢小河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2020年01月14日 上午至2020年01月15日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Q：03.07.01;30.05.00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O：03.07.01;30.05.00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