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重庆精博世电力设计咨询有限公司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重庆市渝北区洪湖西路22号5-4</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重庆市渝北区洪湖西路22号5-4</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郑治</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13650564791</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r>
              <w:rPr>
                <w:rFonts w:hint="eastAsia"/>
                <w:lang w:val="en-US" w:eastAsia="zh-CN"/>
              </w:rPr>
              <w:t>杨岳峰</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0104-2021-QEO-2023</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lang w:eastAsia="zh-CN"/>
              </w:rPr>
              <w:t>■</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Q：资质范围内的电力工程设计咨询服务</w:t>
            </w:r>
          </w:p>
          <w:p>
            <w:pPr>
              <w:rPr>
                <w:sz w:val="20"/>
              </w:rPr>
            </w:pPr>
            <w:r>
              <w:rPr>
                <w:sz w:val="20"/>
              </w:rPr>
              <w:t>E：资质范围内的电力工程设计咨询服务所涉及场所的相关环境管理活动</w:t>
            </w:r>
          </w:p>
          <w:p>
            <w:pPr>
              <w:rPr>
                <w:sz w:val="20"/>
              </w:rPr>
            </w:pPr>
            <w:r>
              <w:rPr>
                <w:sz w:val="20"/>
              </w:rPr>
              <w:t>O：资质范围内的电力工程设计咨询服务所涉及场所的相关职业健康安全管理活动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Q：34.01.02</w:t>
            </w:r>
          </w:p>
          <w:p>
            <w:pPr>
              <w:jc w:val="left"/>
              <w:rPr>
                <w:sz w:val="20"/>
              </w:rPr>
            </w:pPr>
            <w:r>
              <w:rPr>
                <w:sz w:val="20"/>
              </w:rPr>
              <w:t>E：34.01.02</w:t>
            </w:r>
          </w:p>
          <w:p>
            <w:pPr>
              <w:jc w:val="left"/>
              <w:rPr>
                <w:sz w:val="20"/>
              </w:rPr>
            </w:pPr>
            <w:r>
              <w:rPr>
                <w:sz w:val="20"/>
              </w:rPr>
              <w:t>O：34.01.02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2023年01月09日 上午至2023年01月09日 下午</w:t>
            </w:r>
            <w:bookmarkEnd w:id="33"/>
            <w:r>
              <w:rPr>
                <w:rFonts w:hint="eastAsia"/>
                <w:b/>
                <w:sz w:val="20"/>
              </w:rPr>
              <w:t>(共</w:t>
            </w:r>
            <w:bookmarkStart w:id="34" w:name="审核天数"/>
            <w:r>
              <w:rPr>
                <w:rFonts w:hint="eastAsia"/>
                <w:b/>
                <w:sz w:val="20"/>
              </w:rPr>
              <w:t>1.0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杨珍全</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696" w:type="dxa"/>
            <w:gridSpan w:val="2"/>
            <w:vAlign w:val="center"/>
          </w:tcPr>
          <w:p>
            <w:pPr>
              <w:jc w:val="center"/>
              <w:rPr>
                <w:sz w:val="20"/>
                <w:lang w:val="de-DE"/>
              </w:rPr>
            </w:pPr>
            <w:r>
              <w:rPr>
                <w:sz w:val="20"/>
                <w:lang w:val="de-DE"/>
              </w:rPr>
              <w:t>E:34.01.02</w:t>
            </w:r>
          </w:p>
          <w:p>
            <w:pPr>
              <w:jc w:val="center"/>
              <w:rPr>
                <w:sz w:val="20"/>
                <w:lang w:val="de-DE"/>
              </w:rPr>
            </w:pPr>
            <w:r>
              <w:rPr>
                <w:sz w:val="20"/>
                <w:lang w:val="de-DE"/>
              </w:rPr>
              <w:t>O:34.01.02</w:t>
            </w:r>
          </w:p>
        </w:tc>
        <w:tc>
          <w:tcPr>
            <w:tcW w:w="1299" w:type="dxa"/>
            <w:gridSpan w:val="4"/>
            <w:vAlign w:val="center"/>
          </w:tcPr>
          <w:p>
            <w:pPr>
              <w:jc w:val="center"/>
              <w:rPr>
                <w:sz w:val="20"/>
                <w:lang w:val="de-DE"/>
              </w:rPr>
            </w:pPr>
            <w:r>
              <w:rPr>
                <w:sz w:val="20"/>
                <w:lang w:val="de-DE"/>
              </w:rPr>
              <w:t>13883847833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张心</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2021-N1QMS-3207381</w:t>
            </w:r>
          </w:p>
        </w:tc>
        <w:tc>
          <w:tcPr>
            <w:tcW w:w="1696" w:type="dxa"/>
            <w:gridSpan w:val="2"/>
            <w:vAlign w:val="center"/>
          </w:tcPr>
          <w:p>
            <w:pPr>
              <w:jc w:val="center"/>
              <w:rPr>
                <w:sz w:val="20"/>
                <w:lang w:val="de-DE"/>
              </w:rPr>
            </w:pPr>
            <w:r>
              <w:rPr>
                <w:sz w:val="20"/>
                <w:lang w:val="de-DE"/>
              </w:rPr>
              <w:t>Q:34.01.02</w:t>
            </w:r>
          </w:p>
        </w:tc>
        <w:tc>
          <w:tcPr>
            <w:tcW w:w="1299" w:type="dxa"/>
            <w:gridSpan w:val="4"/>
            <w:vAlign w:val="center"/>
          </w:tcPr>
          <w:p>
            <w:pPr>
              <w:jc w:val="center"/>
              <w:rPr>
                <w:sz w:val="20"/>
                <w:lang w:val="de-DE"/>
              </w:rPr>
            </w:pPr>
            <w:r>
              <w:rPr>
                <w:sz w:val="20"/>
                <w:lang w:val="de-DE"/>
              </w:rPr>
              <w:t>15023289133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295910</wp:posOffset>
                  </wp:positionH>
                  <wp:positionV relativeFrom="paragraph">
                    <wp:posOffset>24765</wp:posOffset>
                  </wp:positionV>
                  <wp:extent cx="812800" cy="400050"/>
                  <wp:effectExtent l="0" t="0" r="6350" b="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5"/>
                          <a:stretch>
                            <a:fillRect/>
                          </a:stretch>
                        </pic:blipFill>
                        <pic:spPr>
                          <a:xfrm>
                            <a:off x="0" y="0"/>
                            <a:ext cx="812800" cy="400050"/>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jc w:val="center"/>
              <w:rPr>
                <w:sz w:val="21"/>
                <w:szCs w:val="21"/>
              </w:rPr>
            </w:pPr>
            <w:r>
              <w:rPr>
                <w:rFonts w:hint="eastAsia"/>
                <w:sz w:val="21"/>
                <w:szCs w:val="21"/>
                <w:lang w:val="en-US" w:eastAsia="zh-CN"/>
              </w:rPr>
              <w:t>13883847833</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jc w:val="center"/>
              <w:rPr>
                <w:rFonts w:hint="default"/>
                <w:sz w:val="21"/>
                <w:szCs w:val="21"/>
                <w:lang w:val="en-US"/>
              </w:rPr>
            </w:pPr>
            <w:r>
              <w:rPr>
                <w:rFonts w:hint="eastAsia"/>
                <w:sz w:val="21"/>
                <w:szCs w:val="21"/>
                <w:lang w:val="en-US" w:eastAsia="zh-CN"/>
              </w:rPr>
              <w:t>2023.1.6</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2023.1.6</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13"/>
        <w:gridCol w:w="1375"/>
        <w:gridCol w:w="5725"/>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83"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37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72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81"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83" w:type="dxa"/>
            <w:vMerge w:val="restart"/>
            <w:tcBorders>
              <w:left w:val="single" w:color="auto" w:sz="8" w:space="0"/>
            </w:tcBorders>
            <w:vAlign w:val="center"/>
          </w:tcPr>
          <w:p>
            <w:pPr>
              <w:snapToGrid w:val="0"/>
              <w:spacing w:line="320" w:lineRule="exact"/>
              <w:jc w:val="center"/>
              <w:rPr>
                <w:rFonts w:hint="eastAsia" w:ascii="宋体" w:hAnsi="宋体"/>
                <w:b/>
                <w:bCs/>
                <w:sz w:val="24"/>
                <w:szCs w:val="24"/>
                <w:lang w:val="en-US" w:eastAsia="zh-CN"/>
              </w:rPr>
            </w:pPr>
            <w:r>
              <w:rPr>
                <w:rFonts w:hint="eastAsia" w:ascii="宋体" w:hAnsi="宋体"/>
                <w:b/>
                <w:bCs/>
                <w:sz w:val="24"/>
                <w:szCs w:val="24"/>
                <w:lang w:val="en-US" w:eastAsia="zh-CN"/>
              </w:rPr>
              <w:t>1</w:t>
            </w:r>
          </w:p>
          <w:p>
            <w:pPr>
              <w:snapToGrid w:val="0"/>
              <w:spacing w:line="320" w:lineRule="exact"/>
              <w:jc w:val="center"/>
              <w:rPr>
                <w:rFonts w:hint="eastAsia" w:ascii="宋体" w:hAnsi="宋体"/>
                <w:b/>
                <w:bCs/>
                <w:sz w:val="24"/>
                <w:szCs w:val="24"/>
                <w:lang w:val="en-US" w:eastAsia="zh-CN"/>
              </w:rPr>
            </w:pPr>
            <w:r>
              <w:rPr>
                <w:rFonts w:hint="eastAsia" w:ascii="宋体" w:hAnsi="宋体"/>
                <w:b/>
                <w:bCs/>
                <w:sz w:val="24"/>
                <w:szCs w:val="24"/>
                <w:lang w:val="en-US" w:eastAsia="zh-CN"/>
              </w:rPr>
              <w:t>月</w:t>
            </w:r>
          </w:p>
          <w:p>
            <w:pPr>
              <w:snapToGrid w:val="0"/>
              <w:spacing w:line="320" w:lineRule="exact"/>
              <w:jc w:val="center"/>
              <w:rPr>
                <w:rFonts w:hint="eastAsia" w:ascii="宋体" w:hAnsi="宋体"/>
                <w:b/>
                <w:bCs/>
                <w:sz w:val="24"/>
                <w:szCs w:val="24"/>
                <w:lang w:val="en-US" w:eastAsia="zh-CN"/>
              </w:rPr>
            </w:pPr>
            <w:r>
              <w:rPr>
                <w:rFonts w:hint="eastAsia" w:ascii="宋体" w:hAnsi="宋体"/>
                <w:b/>
                <w:bCs/>
                <w:sz w:val="24"/>
                <w:szCs w:val="24"/>
                <w:lang w:val="en-US" w:eastAsia="zh-CN"/>
              </w:rPr>
              <w:t>9</w:t>
            </w:r>
          </w:p>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4"/>
                <w:szCs w:val="24"/>
                <w:lang w:val="en-US" w:eastAsia="zh-CN"/>
              </w:rPr>
              <w:t>日</w:t>
            </w:r>
          </w:p>
        </w:tc>
        <w:tc>
          <w:tcPr>
            <w:tcW w:w="14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7100" w:type="dxa"/>
            <w:gridSpan w:val="2"/>
            <w:vAlign w:val="center"/>
          </w:tcPr>
          <w:p>
            <w:pPr>
              <w:rPr>
                <w:rFonts w:ascii="宋体" w:hAnsi="宋体"/>
                <w:sz w:val="18"/>
              </w:rPr>
            </w:pPr>
            <w:r>
              <w:rPr>
                <w:rFonts w:hint="eastAsia" w:ascii="宋体" w:hAnsi="宋体" w:eastAsia="宋体" w:cs="Times New Roman"/>
                <w:b/>
                <w:bCs/>
                <w:sz w:val="21"/>
                <w:szCs w:val="21"/>
              </w:rPr>
              <w:t>首次会议</w:t>
            </w:r>
          </w:p>
        </w:tc>
        <w:tc>
          <w:tcPr>
            <w:tcW w:w="1081" w:type="dxa"/>
            <w:tcBorders>
              <w:right w:val="single" w:color="auto" w:sz="8" w:space="0"/>
            </w:tcBorders>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张心、杨珍全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6" w:hRule="atLeast"/>
          <w:jc w:val="center"/>
        </w:trPr>
        <w:tc>
          <w:tcPr>
            <w:tcW w:w="783"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375"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rPr>
              <w:t>管理层</w:t>
            </w:r>
            <w:r>
              <w:rPr>
                <w:rFonts w:hint="eastAsia" w:ascii="宋体" w:hAnsi="宋体"/>
                <w:b/>
                <w:bCs/>
                <w:sz w:val="21"/>
                <w:szCs w:val="21"/>
                <w:lang w:eastAsia="zh-CN"/>
              </w:rPr>
              <w:t>（</w:t>
            </w:r>
            <w:r>
              <w:rPr>
                <w:rFonts w:hint="eastAsia" w:ascii="宋体" w:hAnsi="宋体"/>
                <w:b/>
                <w:bCs/>
                <w:sz w:val="21"/>
                <w:szCs w:val="21"/>
                <w:lang w:val="en-US" w:eastAsia="zh-CN"/>
              </w:rPr>
              <w:t>含管代、安全事务代表）</w:t>
            </w:r>
          </w:p>
        </w:tc>
        <w:tc>
          <w:tcPr>
            <w:tcW w:w="5725" w:type="dxa"/>
          </w:tcPr>
          <w:p>
            <w:pPr>
              <w:spacing w:line="300" w:lineRule="exact"/>
              <w:rPr>
                <w:rFonts w:hint="eastAsia" w:ascii="宋体" w:hAnsi="宋体" w:cs="新宋体"/>
                <w:sz w:val="21"/>
                <w:szCs w:val="21"/>
              </w:rPr>
            </w:pPr>
          </w:p>
          <w:p>
            <w:pPr>
              <w:spacing w:line="300" w:lineRule="exact"/>
              <w:rPr>
                <w:rFonts w:ascii="宋体" w:hAnsi="宋体" w:cs="新宋体"/>
                <w:sz w:val="18"/>
                <w:szCs w:val="18"/>
              </w:rPr>
            </w:pPr>
            <w:r>
              <w:rPr>
                <w:rFonts w:hint="eastAsia" w:ascii="宋体" w:hAnsi="宋体" w:cs="新宋体"/>
                <w:sz w:val="21"/>
                <w:szCs w:val="21"/>
              </w:rPr>
              <w:t>QMS：</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napToGrid w:val="0"/>
              <w:spacing w:line="240" w:lineRule="exact"/>
              <w:rPr>
                <w:rFonts w:ascii="宋体" w:hAnsi="宋体" w:cs="新宋体"/>
                <w:sz w:val="18"/>
                <w:szCs w:val="18"/>
              </w:rPr>
            </w:pPr>
          </w:p>
          <w:p>
            <w:pPr>
              <w:spacing w:line="300" w:lineRule="exact"/>
              <w:rPr>
                <w:rFonts w:hint="eastAsia" w:ascii="宋体" w:hAnsi="宋体" w:cs="新宋体"/>
                <w:sz w:val="18"/>
                <w:szCs w:val="18"/>
                <w:highlight w:val="none"/>
              </w:rPr>
            </w:pPr>
            <w:r>
              <w:rPr>
                <w:rFonts w:hint="eastAsia" w:ascii="宋体" w:hAnsi="宋体" w:cs="新宋体"/>
                <w:sz w:val="21"/>
                <w:szCs w:val="21"/>
              </w:rPr>
              <w:t>EMS：</w:t>
            </w:r>
            <w:r>
              <w:rPr>
                <w:rFonts w:hint="eastAsia" w:ascii="宋体" w:hAnsi="宋体" w:cs="新宋体"/>
                <w:sz w:val="18"/>
                <w:szCs w:val="18"/>
                <w:highlight w:val="none"/>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pacing w:line="300" w:lineRule="exact"/>
              <w:rPr>
                <w:rFonts w:hint="eastAsia" w:ascii="宋体" w:hAnsi="宋体" w:cs="新宋体"/>
                <w:sz w:val="18"/>
                <w:szCs w:val="18"/>
                <w:highlight w:val="none"/>
              </w:rPr>
            </w:pPr>
          </w:p>
          <w:p>
            <w:pPr>
              <w:rPr>
                <w:rFonts w:hint="eastAsia" w:ascii="宋体" w:hAnsi="宋体" w:cs="新宋体"/>
                <w:sz w:val="18"/>
                <w:szCs w:val="18"/>
                <w:highlight w:val="none"/>
                <w:lang w:val="en-US" w:eastAsia="zh-CN"/>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w:t>
            </w:r>
            <w:r>
              <w:rPr>
                <w:rFonts w:hint="eastAsia" w:ascii="宋体" w:hAnsi="宋体" w:cs="新宋体"/>
                <w:sz w:val="18"/>
                <w:szCs w:val="18"/>
                <w:highlight w:val="none"/>
              </w:rPr>
              <w:t>10.1改进 总则；10.3持续改进。</w:t>
            </w:r>
          </w:p>
          <w:p>
            <w:pPr>
              <w:snapToGrid w:val="0"/>
              <w:spacing w:line="240" w:lineRule="exact"/>
              <w:rPr>
                <w:rFonts w:hint="eastAsia" w:ascii="宋体" w:hAnsi="宋体" w:cs="新宋体"/>
                <w:sz w:val="18"/>
                <w:szCs w:val="18"/>
                <w:highlight w:val="none"/>
                <w:lang w:val="en-US" w:eastAsia="zh-CN"/>
              </w:rPr>
            </w:pP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rPr>
              <w:t>范围的确认，资质的确认，管理体系变化情况</w:t>
            </w:r>
            <w:r>
              <w:rPr>
                <w:rFonts w:hint="eastAsia" w:ascii="宋体" w:hAnsi="宋体" w:cs="新宋体"/>
                <w:sz w:val="18"/>
                <w:szCs w:val="18"/>
                <w:lang w:eastAsia="zh-CN"/>
              </w:rPr>
              <w:t>、</w:t>
            </w:r>
            <w:r>
              <w:rPr>
                <w:rFonts w:hint="eastAsia" w:ascii="宋体" w:hAnsi="宋体" w:cs="新宋体"/>
                <w:sz w:val="18"/>
                <w:szCs w:val="18"/>
              </w:rPr>
              <w:t>法律法规执行情况，重大质量事故，及顾客投诉和质量监督抽查情况，</w:t>
            </w:r>
            <w:r>
              <w:rPr>
                <w:rFonts w:hint="eastAsia" w:ascii="宋体" w:hAnsi="宋体" w:cs="新宋体"/>
                <w:sz w:val="18"/>
                <w:szCs w:val="18"/>
                <w:lang w:val="en-US" w:eastAsia="zh-CN"/>
              </w:rPr>
              <w:t>职业健康</w:t>
            </w:r>
            <w:r>
              <w:rPr>
                <w:rFonts w:hint="eastAsia" w:ascii="宋体" w:hAnsi="宋体" w:cs="新宋体"/>
                <w:sz w:val="18"/>
                <w:szCs w:val="18"/>
              </w:rPr>
              <w:t>安全投诉，</w:t>
            </w:r>
            <w:r>
              <w:rPr>
                <w:rFonts w:hint="eastAsia" w:ascii="宋体" w:hAnsi="宋体" w:eastAsia="宋体" w:cs="新宋体"/>
                <w:sz w:val="18"/>
                <w:szCs w:val="18"/>
              </w:rPr>
              <w:t>认证证书及标识使用情况</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上次不符合</w:t>
            </w:r>
            <w:r>
              <w:rPr>
                <w:rFonts w:hint="eastAsia" w:ascii="宋体" w:hAnsi="宋体" w:eastAsia="宋体" w:cs="新宋体"/>
                <w:sz w:val="18"/>
                <w:szCs w:val="18"/>
              </w:rPr>
              <w:t>验证。</w:t>
            </w:r>
            <w:r>
              <w:rPr>
                <w:rFonts w:hint="eastAsia" w:ascii="宋体" w:hAnsi="宋体" w:cs="新宋体"/>
                <w:color w:val="auto"/>
                <w:sz w:val="18"/>
                <w:szCs w:val="18"/>
                <w:highlight w:val="none"/>
                <w:lang w:val="en-US" w:eastAsia="zh-CN"/>
              </w:rPr>
              <w:t> </w:t>
            </w:r>
          </w:p>
        </w:tc>
        <w:tc>
          <w:tcPr>
            <w:tcW w:w="1081" w:type="dxa"/>
            <w:tcBorders>
              <w:right w:val="single" w:color="auto" w:sz="8" w:space="0"/>
            </w:tcBorders>
          </w:tcPr>
          <w:p>
            <w:pPr>
              <w:snapToGrid w:val="0"/>
              <w:spacing w:line="320" w:lineRule="exact"/>
              <w:rPr>
                <w:rFonts w:hint="eastAsia" w:ascii="宋体" w:hAnsi="宋体"/>
                <w:b/>
                <w:bCs/>
                <w:sz w:val="18"/>
                <w:szCs w:val="18"/>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jc w:val="center"/>
        </w:trPr>
        <w:tc>
          <w:tcPr>
            <w:tcW w:w="783"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0</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375" w:type="dxa"/>
          </w:tcPr>
          <w:p>
            <w:pPr>
              <w:spacing w:line="300" w:lineRule="exact"/>
              <w:rPr>
                <w:rFonts w:ascii="宋体" w:hAnsi="宋体"/>
                <w:b/>
                <w:bCs/>
                <w:sz w:val="21"/>
                <w:szCs w:val="21"/>
              </w:rPr>
            </w:pPr>
            <w:r>
              <w:rPr>
                <w:rFonts w:hint="eastAsia" w:ascii="宋体" w:hAnsi="宋体" w:cs="新宋体"/>
                <w:sz w:val="21"/>
                <w:szCs w:val="21"/>
                <w:lang w:val="en-US" w:eastAsia="zh-CN"/>
              </w:rPr>
              <w:t>管理</w:t>
            </w:r>
            <w:r>
              <w:rPr>
                <w:rFonts w:hint="eastAsia" w:ascii="宋体" w:hAnsi="宋体" w:cs="新宋体"/>
                <w:sz w:val="21"/>
                <w:szCs w:val="21"/>
              </w:rPr>
              <w:t>部（含财务）</w:t>
            </w:r>
          </w:p>
        </w:tc>
        <w:tc>
          <w:tcPr>
            <w:tcW w:w="5725" w:type="dxa"/>
          </w:tcPr>
          <w:p>
            <w:pPr>
              <w:snapToGrid w:val="0"/>
              <w:spacing w:line="240" w:lineRule="exact"/>
              <w:rPr>
                <w:rFonts w:hint="eastAsia" w:ascii="宋体" w:hAnsi="宋体" w:cs="新宋体"/>
                <w:sz w:val="21"/>
                <w:szCs w:val="21"/>
              </w:rPr>
            </w:pP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21"/>
                <w:szCs w:val="21"/>
              </w:rPr>
              <w:t>QMS：</w:t>
            </w:r>
            <w:r>
              <w:rPr>
                <w:rFonts w:hint="eastAsia" w:ascii="宋体" w:hAnsi="宋体" w:cs="新宋体"/>
                <w:sz w:val="18"/>
                <w:szCs w:val="18"/>
                <w:highlight w:val="none"/>
                <w:lang w:val="en-US" w:eastAsia="zh-CN"/>
              </w:rPr>
              <w:t>5.3岗位/职责 /权限；6.2质量目标及其实现的策划；7.1.4过程运行环境；7.2能力；7.3意识；7.4沟通；7.5文件化信息；10.2不符合和纠正措施；</w:t>
            </w:r>
          </w:p>
          <w:p>
            <w:pPr>
              <w:snapToGrid w:val="0"/>
              <w:spacing w:line="240" w:lineRule="exact"/>
              <w:rPr>
                <w:rFonts w:hint="eastAsia" w:ascii="宋体" w:hAnsi="宋体" w:cs="新宋体"/>
                <w:sz w:val="18"/>
                <w:szCs w:val="18"/>
                <w:highlight w:val="none"/>
                <w:lang w:val="en-US" w:eastAsia="zh-CN"/>
              </w:rPr>
            </w:pPr>
          </w:p>
        </w:tc>
        <w:tc>
          <w:tcPr>
            <w:tcW w:w="1081"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eastAsia="宋体"/>
                <w:b/>
                <w:bCs/>
                <w:sz w:val="18"/>
                <w:szCs w:val="18"/>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7" w:hRule="atLeast"/>
          <w:jc w:val="center"/>
        </w:trPr>
        <w:tc>
          <w:tcPr>
            <w:tcW w:w="783"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11</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4</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eastAsia="zh-CN"/>
              </w:rPr>
              <w:t>（</w:t>
            </w:r>
            <w:r>
              <w:rPr>
                <w:rFonts w:hint="eastAsia" w:ascii="宋体" w:hAnsi="宋体"/>
                <w:b/>
                <w:bCs/>
                <w:sz w:val="21"/>
                <w:szCs w:val="21"/>
                <w:lang w:val="en-US" w:eastAsia="zh-CN"/>
              </w:rPr>
              <w:t>午休12：00-13：00）</w:t>
            </w:r>
          </w:p>
        </w:tc>
        <w:tc>
          <w:tcPr>
            <w:tcW w:w="1375" w:type="dxa"/>
          </w:tcPr>
          <w:p>
            <w:pPr>
              <w:spacing w:line="300" w:lineRule="exact"/>
              <w:rPr>
                <w:rFonts w:hint="eastAsia" w:ascii="宋体" w:hAnsi="宋体" w:cs="新宋体"/>
                <w:sz w:val="21"/>
                <w:szCs w:val="21"/>
                <w:lang w:val="en-US" w:eastAsia="zh-CN"/>
              </w:rPr>
            </w:pPr>
            <w:r>
              <w:rPr>
                <w:rFonts w:hint="eastAsia" w:ascii="宋体" w:hAnsi="宋体" w:cs="新宋体"/>
                <w:sz w:val="21"/>
                <w:szCs w:val="21"/>
                <w:lang w:val="en-US" w:eastAsia="zh-CN"/>
              </w:rPr>
              <w:t>管理</w:t>
            </w:r>
            <w:r>
              <w:rPr>
                <w:rFonts w:hint="eastAsia" w:ascii="宋体" w:hAnsi="宋体" w:cs="新宋体"/>
                <w:sz w:val="21"/>
                <w:szCs w:val="21"/>
              </w:rPr>
              <w:t>部（含财务）</w:t>
            </w:r>
          </w:p>
        </w:tc>
        <w:tc>
          <w:tcPr>
            <w:tcW w:w="5725" w:type="dxa"/>
          </w:tcPr>
          <w:p>
            <w:pPr>
              <w:snapToGrid w:val="0"/>
              <w:spacing w:line="240" w:lineRule="exact"/>
              <w:rPr>
                <w:rFonts w:hint="eastAsia" w:ascii="宋体" w:hAnsi="宋体" w:cs="新宋体"/>
                <w:sz w:val="21"/>
                <w:szCs w:val="21"/>
              </w:rPr>
            </w:pP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21"/>
                <w:szCs w:val="21"/>
              </w:rPr>
              <w:t>EMS：</w:t>
            </w:r>
            <w:r>
              <w:rPr>
                <w:rFonts w:hint="eastAsia" w:ascii="宋体" w:hAnsi="宋体" w:cs="新宋体"/>
                <w:sz w:val="18"/>
                <w:szCs w:val="18"/>
                <w:highlight w:val="none"/>
                <w:lang w:val="en-US" w:eastAsia="zh-CN"/>
              </w:rPr>
              <w:t>5.3组织的角色、职责和权限;6.1.2环境因素；6.1.3合规义务；6.2目标及其达成的策划；7.2能力；7.3意识；7.4沟通；7.5文件化信息；8.1运行策划和控制；8.2应急准备和响应；9.1监视、测量、分析与评估；9.1.2符合性评估（上次不符合项验证）；10.2不符合和纠正措施；10.3持续改进/EMS运行控制相关财务支出证据。</w:t>
            </w:r>
          </w:p>
          <w:p>
            <w:pPr>
              <w:snapToGrid w:val="0"/>
              <w:spacing w:line="240" w:lineRule="exact"/>
              <w:rPr>
                <w:rFonts w:hint="eastAsia" w:ascii="宋体" w:hAnsi="宋体" w:cs="新宋体"/>
                <w:sz w:val="18"/>
                <w:szCs w:val="18"/>
                <w:highlight w:val="none"/>
                <w:lang w:val="en-US" w:eastAsia="zh-CN"/>
              </w:rPr>
            </w:pPr>
          </w:p>
          <w:p>
            <w:pPr>
              <w:rPr>
                <w:rFonts w:hint="eastAsia" w:ascii="宋体" w:hAnsi="宋体" w:cs="新宋体"/>
                <w:sz w:val="18"/>
                <w:szCs w:val="18"/>
                <w:highlight w:val="none"/>
                <w:lang w:val="en-US" w:eastAsia="zh-CN"/>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lang w:val="en-US" w:eastAsia="zh-CN"/>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上次不符合项验证）；10.2事件、不符合和纠正措施；10.3持续改进/OHSMS运行控制财务支出证据。</w:t>
            </w:r>
          </w:p>
          <w:p>
            <w:pPr>
              <w:snapToGrid w:val="0"/>
              <w:spacing w:line="240" w:lineRule="exact"/>
              <w:rPr>
                <w:rFonts w:hint="eastAsia" w:ascii="宋体" w:hAnsi="宋体" w:cs="新宋体"/>
                <w:sz w:val="18"/>
                <w:szCs w:val="18"/>
                <w:highlight w:val="none"/>
                <w:lang w:val="en-US" w:eastAsia="zh-CN"/>
              </w:rPr>
            </w:pPr>
          </w:p>
        </w:tc>
        <w:tc>
          <w:tcPr>
            <w:tcW w:w="1081"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83"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13" w:type="dxa"/>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10</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eastAsia="zh-CN"/>
              </w:rPr>
              <w:t>（</w:t>
            </w:r>
            <w:r>
              <w:rPr>
                <w:rFonts w:hint="eastAsia" w:ascii="宋体" w:hAnsi="宋体"/>
                <w:b/>
                <w:bCs/>
                <w:sz w:val="21"/>
                <w:szCs w:val="21"/>
                <w:lang w:val="en-US" w:eastAsia="zh-CN"/>
              </w:rPr>
              <w:t>午休12：00-13：00）</w:t>
            </w:r>
          </w:p>
        </w:tc>
        <w:tc>
          <w:tcPr>
            <w:tcW w:w="1375" w:type="dxa"/>
          </w:tcPr>
          <w:p>
            <w:pPr>
              <w:spacing w:line="300" w:lineRule="exact"/>
              <w:rPr>
                <w:rFonts w:hint="default" w:ascii="宋体" w:hAnsi="宋体" w:cs="新宋体"/>
                <w:sz w:val="21"/>
                <w:szCs w:val="21"/>
                <w:lang w:val="en-US"/>
              </w:rPr>
            </w:pPr>
            <w:r>
              <w:rPr>
                <w:rFonts w:hint="eastAsia" w:ascii="宋体" w:hAnsi="宋体" w:cs="新宋体"/>
                <w:sz w:val="21"/>
                <w:szCs w:val="21"/>
                <w:lang w:val="en-US" w:eastAsia="zh-CN"/>
              </w:rPr>
              <w:t>技经室</w:t>
            </w:r>
          </w:p>
        </w:tc>
        <w:tc>
          <w:tcPr>
            <w:tcW w:w="5725" w:type="dxa"/>
          </w:tcPr>
          <w:p>
            <w:pPr>
              <w:spacing w:line="300" w:lineRule="exact"/>
              <w:rPr>
                <w:rFonts w:ascii="宋体" w:hAnsi="宋体" w:cs="新宋体"/>
                <w:sz w:val="18"/>
                <w:szCs w:val="18"/>
              </w:rPr>
            </w:pPr>
            <w:r>
              <w:rPr>
                <w:rFonts w:hint="eastAsia" w:ascii="宋体" w:hAnsi="宋体" w:cs="新宋体"/>
                <w:sz w:val="21"/>
                <w:szCs w:val="21"/>
              </w:rPr>
              <w:t>QMS：</w:t>
            </w:r>
            <w:r>
              <w:rPr>
                <w:rFonts w:hint="eastAsia" w:ascii="宋体" w:hAnsi="宋体" w:cs="新宋体"/>
                <w:sz w:val="18"/>
                <w:szCs w:val="18"/>
              </w:rPr>
              <w:t>5.3岗位/职责 /权限；6.2质量目标及其实现的策划；7.1.3基础设施；7.1.5监视和测量设备控制； 8.1运行策划和控制；</w:t>
            </w:r>
            <w:r>
              <w:rPr>
                <w:rFonts w:ascii="宋体" w:hAnsi="宋体" w:cs="新宋体"/>
                <w:sz w:val="18"/>
                <w:szCs w:val="18"/>
              </w:rPr>
              <w:t xml:space="preserve"> </w:t>
            </w:r>
            <w:r>
              <w:rPr>
                <w:rFonts w:hint="eastAsia" w:ascii="宋体" w:hAnsi="宋体" w:cs="新宋体"/>
                <w:sz w:val="18"/>
                <w:szCs w:val="18"/>
              </w:rPr>
              <w:t>8.3</w:t>
            </w:r>
            <w:r>
              <w:rPr>
                <w:rFonts w:hint="eastAsia" w:ascii="宋体" w:hAnsi="宋体" w:cs="新宋体"/>
                <w:sz w:val="18"/>
                <w:szCs w:val="18"/>
                <w:lang w:val="en-US" w:eastAsia="zh-CN"/>
              </w:rPr>
              <w:t>产品和服务的</w:t>
            </w:r>
            <w:r>
              <w:rPr>
                <w:rFonts w:hint="eastAsia" w:ascii="宋体" w:hAnsi="宋体" w:cs="新宋体"/>
                <w:sz w:val="18"/>
                <w:szCs w:val="18"/>
              </w:rPr>
              <w:t>设计</w:t>
            </w:r>
            <w:r>
              <w:rPr>
                <w:rFonts w:hint="eastAsia" w:ascii="宋体" w:hAnsi="宋体" w:cs="新宋体"/>
                <w:sz w:val="18"/>
                <w:szCs w:val="18"/>
                <w:lang w:val="en-US" w:eastAsia="zh-CN"/>
              </w:rPr>
              <w:t>和</w:t>
            </w:r>
            <w:r>
              <w:rPr>
                <w:rFonts w:hint="eastAsia" w:ascii="宋体" w:hAnsi="宋体" w:cs="新宋体"/>
                <w:sz w:val="18"/>
                <w:szCs w:val="18"/>
              </w:rPr>
              <w:t>开发</w:t>
            </w:r>
            <w:r>
              <w:rPr>
                <w:rFonts w:hint="eastAsia" w:ascii="宋体" w:hAnsi="宋体" w:cs="新宋体"/>
                <w:sz w:val="18"/>
                <w:szCs w:val="18"/>
                <w:lang w:val="en-US" w:eastAsia="zh-CN"/>
              </w:rPr>
              <w:t>/不适用验证</w:t>
            </w:r>
            <w:r>
              <w:rPr>
                <w:rFonts w:hint="eastAsia" w:ascii="宋体" w:hAnsi="宋体" w:cs="新宋体"/>
                <w:sz w:val="18"/>
                <w:szCs w:val="18"/>
              </w:rPr>
              <w:t>； 8.5生产和服务提供</w:t>
            </w:r>
            <w:r>
              <w:rPr>
                <w:rFonts w:hint="eastAsia" w:ascii="宋体" w:hAnsi="宋体" w:cs="新宋体"/>
                <w:sz w:val="18"/>
                <w:szCs w:val="18"/>
                <w:lang w:val="en-US" w:eastAsia="zh-CN"/>
              </w:rPr>
              <w:t>；</w:t>
            </w:r>
            <w:r>
              <w:rPr>
                <w:rFonts w:hint="eastAsia" w:ascii="宋体" w:hAnsi="宋体" w:cs="新宋体"/>
                <w:sz w:val="18"/>
                <w:szCs w:val="18"/>
              </w:rPr>
              <w:t>8.6产品和服务</w:t>
            </w:r>
            <w:r>
              <w:rPr>
                <w:rFonts w:hint="eastAsia" w:ascii="宋体" w:hAnsi="宋体" w:cs="新宋体"/>
                <w:sz w:val="18"/>
                <w:szCs w:val="18"/>
                <w:lang w:val="en-US" w:eastAsia="zh-CN"/>
              </w:rPr>
              <w:t>的</w:t>
            </w:r>
            <w:r>
              <w:rPr>
                <w:rFonts w:hint="eastAsia" w:ascii="宋体" w:hAnsi="宋体" w:cs="新宋体"/>
                <w:sz w:val="18"/>
                <w:szCs w:val="18"/>
              </w:rPr>
              <w:t>放行；8.7不合格输出的控制；</w:t>
            </w:r>
            <w:bookmarkStart w:id="36" w:name="_GoBack"/>
            <w:bookmarkEnd w:id="36"/>
          </w:p>
          <w:p>
            <w:pPr>
              <w:snapToGrid w:val="0"/>
              <w:spacing w:line="240" w:lineRule="exact"/>
              <w:rPr>
                <w:rFonts w:ascii="宋体" w:hAnsi="宋体" w:cs="新宋体"/>
                <w:sz w:val="18"/>
                <w:szCs w:val="18"/>
              </w:rPr>
            </w:pPr>
          </w:p>
        </w:tc>
        <w:tc>
          <w:tcPr>
            <w:tcW w:w="1081" w:type="dxa"/>
            <w:tcBorders>
              <w:right w:val="single" w:color="auto" w:sz="8" w:space="0"/>
            </w:tcBorders>
          </w:tcPr>
          <w:p>
            <w:pPr>
              <w:snapToGrid w:val="0"/>
              <w:spacing w:line="320" w:lineRule="exact"/>
              <w:rPr>
                <w:rFonts w:hint="default" w:ascii="宋体" w:hAnsi="宋体"/>
                <w:b/>
                <w:bCs/>
                <w:sz w:val="18"/>
                <w:szCs w:val="18"/>
                <w:lang w:val="en-US"/>
              </w:rPr>
            </w:pPr>
            <w:r>
              <w:rPr>
                <w:rFonts w:hint="eastAsia" w:ascii="宋体" w:hAnsi="宋体"/>
                <w:b/>
                <w:bCs/>
                <w:sz w:val="21"/>
                <w:szCs w:val="21"/>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783"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13"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14</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5</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1375" w:type="dxa"/>
            <w:vAlign w:val="top"/>
          </w:tcPr>
          <w:p>
            <w:pPr>
              <w:spacing w:line="300" w:lineRule="exact"/>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技经室</w:t>
            </w:r>
          </w:p>
        </w:tc>
        <w:tc>
          <w:tcPr>
            <w:tcW w:w="5725" w:type="dxa"/>
          </w:tcPr>
          <w:p>
            <w:pPr>
              <w:rPr>
                <w:rFonts w:hint="eastAsia" w:ascii="宋体" w:hAnsi="宋体" w:cs="新宋体"/>
                <w:sz w:val="18"/>
                <w:szCs w:val="18"/>
                <w:highlight w:val="none"/>
              </w:rPr>
            </w:pPr>
            <w:r>
              <w:rPr>
                <w:rFonts w:hint="eastAsia" w:ascii="宋体" w:hAnsi="宋体" w:cs="新宋体"/>
                <w:sz w:val="21"/>
                <w:szCs w:val="21"/>
              </w:rPr>
              <w:t>EMS：</w:t>
            </w:r>
            <w:r>
              <w:rPr>
                <w:rFonts w:hint="eastAsia" w:ascii="宋体" w:hAnsi="宋体" w:cs="新宋体"/>
                <w:sz w:val="18"/>
                <w:szCs w:val="18"/>
                <w:highlight w:val="none"/>
              </w:rPr>
              <w:t xml:space="preserve"> 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highlight w:val="none"/>
              </w:rPr>
            </w:pPr>
          </w:p>
          <w:p>
            <w:pPr>
              <w:rPr>
                <w:rFonts w:hint="default" w:ascii="宋体" w:hAnsi="宋体" w:cs="新宋体"/>
                <w:sz w:val="18"/>
                <w:szCs w:val="18"/>
                <w:lang w:val="en-US" w:eastAsia="zh-CN"/>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ascii="宋体" w:hAnsi="宋体" w:cs="新宋体"/>
                <w:sz w:val="18"/>
                <w:szCs w:val="18"/>
              </w:rPr>
            </w:pPr>
          </w:p>
        </w:tc>
        <w:tc>
          <w:tcPr>
            <w:tcW w:w="1081"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783"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15</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375" w:type="dxa"/>
            <w:vAlign w:val="top"/>
          </w:tcPr>
          <w:p>
            <w:pPr>
              <w:spacing w:line="300" w:lineRule="exact"/>
              <w:rPr>
                <w:rFonts w:ascii="宋体" w:hAnsi="宋体" w:cs="新宋体"/>
                <w:sz w:val="21"/>
                <w:szCs w:val="21"/>
              </w:rPr>
            </w:pPr>
            <w:r>
              <w:rPr>
                <w:rFonts w:hint="eastAsia" w:ascii="宋体" w:hAnsi="宋体" w:cs="新宋体"/>
                <w:sz w:val="21"/>
                <w:szCs w:val="21"/>
                <w:highlight w:val="none"/>
                <w:lang w:val="en-US" w:eastAsia="zh-CN"/>
              </w:rPr>
              <w:t>市场</w:t>
            </w:r>
            <w:r>
              <w:rPr>
                <w:rFonts w:hint="eastAsia" w:ascii="宋体" w:hAnsi="宋体" w:cs="新宋体"/>
                <w:sz w:val="21"/>
                <w:szCs w:val="21"/>
                <w:highlight w:val="none"/>
              </w:rPr>
              <w:t>部</w:t>
            </w:r>
          </w:p>
        </w:tc>
        <w:tc>
          <w:tcPr>
            <w:tcW w:w="5725" w:type="dxa"/>
            <w:vAlign w:val="top"/>
          </w:tcPr>
          <w:p>
            <w:pPr>
              <w:spacing w:line="300" w:lineRule="exact"/>
              <w:rPr>
                <w:rFonts w:ascii="宋体" w:hAnsi="宋体" w:cs="新宋体"/>
                <w:sz w:val="18"/>
                <w:szCs w:val="18"/>
                <w:highlight w:val="none"/>
              </w:rPr>
            </w:pPr>
            <w:r>
              <w:rPr>
                <w:rFonts w:hint="eastAsia" w:ascii="宋体" w:hAnsi="宋体" w:cs="新宋体"/>
                <w:sz w:val="21"/>
                <w:szCs w:val="21"/>
              </w:rPr>
              <w:t>QMS：</w:t>
            </w:r>
            <w:r>
              <w:rPr>
                <w:rFonts w:hint="eastAsia" w:ascii="宋体" w:hAnsi="宋体" w:cs="新宋体"/>
                <w:sz w:val="18"/>
                <w:szCs w:val="18"/>
                <w:highlight w:val="none"/>
              </w:rPr>
              <w:t>5.3岗位/职责 /权限；6.2质量目标及其实现的策划； 8.2产品和服务的要求；8.4外部提供供方的控制</w:t>
            </w:r>
            <w:r>
              <w:rPr>
                <w:rFonts w:ascii="宋体" w:hAnsi="宋体" w:cs="新宋体"/>
                <w:sz w:val="18"/>
                <w:szCs w:val="18"/>
                <w:highlight w:val="none"/>
              </w:rPr>
              <w:t xml:space="preserve"> </w:t>
            </w:r>
            <w:r>
              <w:rPr>
                <w:rFonts w:hint="eastAsia" w:ascii="宋体" w:hAnsi="宋体" w:cs="新宋体"/>
                <w:sz w:val="18"/>
                <w:szCs w:val="18"/>
                <w:highlight w:val="none"/>
              </w:rPr>
              <w:t>；9.1.2顾客满意；</w:t>
            </w:r>
          </w:p>
          <w:p>
            <w:pPr>
              <w:snapToGrid w:val="0"/>
              <w:spacing w:line="240" w:lineRule="exact"/>
              <w:rPr>
                <w:rFonts w:ascii="宋体" w:hAnsi="宋体" w:cs="新宋体"/>
                <w:sz w:val="18"/>
                <w:szCs w:val="18"/>
              </w:rPr>
            </w:pPr>
          </w:p>
        </w:tc>
        <w:tc>
          <w:tcPr>
            <w:tcW w:w="1081"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eastAsia="宋体" w:cs="Times New Roman"/>
                <w:b/>
                <w:bCs/>
                <w:sz w:val="21"/>
                <w:szCs w:val="21"/>
                <w:lang w:val="en-US" w:eastAsia="zh-CN"/>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atLeast"/>
          <w:jc w:val="center"/>
        </w:trPr>
        <w:tc>
          <w:tcPr>
            <w:tcW w:w="783"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15</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375" w:type="dxa"/>
            <w:vAlign w:val="top"/>
          </w:tcPr>
          <w:p>
            <w:pPr>
              <w:spacing w:line="300" w:lineRule="exact"/>
              <w:rPr>
                <w:rFonts w:hint="eastAsia" w:ascii="宋体" w:hAnsi="宋体" w:cs="新宋体"/>
                <w:sz w:val="21"/>
                <w:szCs w:val="21"/>
                <w:highlight w:val="none"/>
                <w:lang w:val="en-US" w:eastAsia="zh-CN"/>
              </w:rPr>
            </w:pPr>
            <w:r>
              <w:rPr>
                <w:rFonts w:hint="eastAsia" w:ascii="宋体" w:hAnsi="宋体" w:cs="新宋体"/>
                <w:sz w:val="21"/>
                <w:szCs w:val="21"/>
                <w:highlight w:val="none"/>
                <w:lang w:val="en-US" w:eastAsia="zh-CN"/>
              </w:rPr>
              <w:t>市场</w:t>
            </w:r>
            <w:r>
              <w:rPr>
                <w:rFonts w:hint="eastAsia" w:ascii="宋体" w:hAnsi="宋体" w:cs="新宋体"/>
                <w:sz w:val="21"/>
                <w:szCs w:val="21"/>
                <w:highlight w:val="none"/>
              </w:rPr>
              <w:t>部</w:t>
            </w:r>
          </w:p>
        </w:tc>
        <w:tc>
          <w:tcPr>
            <w:tcW w:w="5725" w:type="dxa"/>
            <w:vAlign w:val="top"/>
          </w:tcPr>
          <w:p>
            <w:pPr>
              <w:snapToGrid w:val="0"/>
              <w:spacing w:line="240" w:lineRule="exact"/>
              <w:rPr>
                <w:rFonts w:hint="eastAsia" w:ascii="宋体" w:hAnsi="宋体" w:cs="新宋体"/>
                <w:sz w:val="18"/>
                <w:szCs w:val="18"/>
                <w:highlight w:val="none"/>
              </w:rPr>
            </w:pPr>
            <w:r>
              <w:rPr>
                <w:rFonts w:hint="eastAsia" w:ascii="宋体" w:hAnsi="宋体" w:cs="新宋体"/>
                <w:sz w:val="21"/>
                <w:szCs w:val="21"/>
              </w:rPr>
              <w:t>EMS：</w:t>
            </w:r>
            <w:r>
              <w:rPr>
                <w:rFonts w:hint="eastAsia" w:ascii="宋体" w:hAnsi="宋体" w:cs="新宋体"/>
                <w:sz w:val="18"/>
                <w:szCs w:val="18"/>
                <w:highlight w:val="none"/>
              </w:rPr>
              <w:t>5.3组织的角色、职责和权限、6.1.2环境因素；6.2目标及其达成的策划；7.4沟通；8.1运行策划和控制；8.2应急准备和响应</w:t>
            </w:r>
          </w:p>
          <w:p>
            <w:pPr>
              <w:snapToGrid w:val="0"/>
              <w:spacing w:line="240" w:lineRule="exact"/>
              <w:rPr>
                <w:rFonts w:hint="eastAsia" w:ascii="宋体" w:hAnsi="宋体" w:cs="新宋体"/>
                <w:sz w:val="18"/>
                <w:szCs w:val="18"/>
                <w:highlight w:val="none"/>
              </w:rPr>
            </w:pPr>
          </w:p>
          <w:p>
            <w:pPr>
              <w:rPr>
                <w:rFonts w:hint="eastAsia" w:ascii="宋体" w:hAnsi="宋体" w:eastAsia="宋体" w:cs="新宋体"/>
                <w:sz w:val="21"/>
                <w:szCs w:val="21"/>
                <w:lang w:val="de-DE"/>
              </w:rPr>
            </w:pPr>
            <w:r>
              <w:rPr>
                <w:rFonts w:hint="eastAsia" w:ascii="宋体" w:hAnsi="宋体" w:eastAsia="宋体" w:cs="新宋体"/>
                <w:sz w:val="21"/>
                <w:szCs w:val="21"/>
                <w:lang w:val="en-US" w:eastAsia="zh-CN"/>
              </w:rPr>
              <w:t>OHSMS</w:t>
            </w:r>
            <w:r>
              <w:rPr>
                <w:rFonts w:hint="eastAsia" w:ascii="宋体" w:hAnsi="宋体" w:eastAsia="宋体" w:cs="新宋体"/>
                <w:sz w:val="21"/>
                <w:szCs w:val="21"/>
                <w:lang w:val="de-DE"/>
              </w:rPr>
              <w:t>：</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hint="eastAsia" w:ascii="宋体" w:hAnsi="宋体" w:cs="新宋体"/>
                <w:sz w:val="18"/>
                <w:szCs w:val="18"/>
                <w:highlight w:val="none"/>
                <w:lang w:val="en-US" w:eastAsia="zh-CN"/>
              </w:rPr>
            </w:pPr>
          </w:p>
        </w:tc>
        <w:tc>
          <w:tcPr>
            <w:tcW w:w="1081" w:type="dxa"/>
            <w:tcBorders>
              <w:right w:val="single" w:color="auto" w:sz="8" w:space="0"/>
            </w:tcBorders>
          </w:tcPr>
          <w:p>
            <w:pPr>
              <w:snapToGrid w:val="0"/>
              <w:spacing w:line="320" w:lineRule="exact"/>
              <w:rPr>
                <w:rFonts w:hint="eastAsia" w:ascii="宋体" w:hAnsi="宋体"/>
                <w:b/>
                <w:bCs/>
                <w:sz w:val="18"/>
                <w:szCs w:val="18"/>
                <w:lang w:val="en-US" w:eastAsia="zh-CN"/>
              </w:rPr>
            </w:pPr>
            <w:r>
              <w:rPr>
                <w:rFonts w:hint="eastAsia" w:ascii="宋体" w:hAnsi="宋体"/>
                <w:b/>
                <w:bCs/>
                <w:sz w:val="21"/>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83" w:type="dxa"/>
            <w:vMerge w:val="continue"/>
            <w:tcBorders>
              <w:left w:val="single" w:color="auto" w:sz="8" w:space="0"/>
            </w:tcBorders>
          </w:tcPr>
          <w:p>
            <w:pPr>
              <w:snapToGrid w:val="0"/>
              <w:spacing w:line="320" w:lineRule="exact"/>
              <w:rPr>
                <w:rFonts w:ascii="宋体" w:hAnsi="宋体"/>
                <w:b/>
                <w:bCs/>
                <w:sz w:val="21"/>
                <w:szCs w:val="21"/>
              </w:rPr>
            </w:pPr>
          </w:p>
        </w:tc>
        <w:tc>
          <w:tcPr>
            <w:tcW w:w="1413"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tc>
        <w:tc>
          <w:tcPr>
            <w:tcW w:w="7100"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r>
              <w:rPr>
                <w:rFonts w:hint="eastAsia" w:ascii="宋体" w:hAnsi="宋体" w:cs="新宋体"/>
                <w:sz w:val="21"/>
                <w:szCs w:val="21"/>
                <w:lang w:eastAsia="zh-CN"/>
              </w:rPr>
              <w:t>、</w:t>
            </w:r>
            <w:r>
              <w:rPr>
                <w:rFonts w:hint="eastAsia" w:ascii="宋体" w:hAnsi="宋体" w:cs="新宋体"/>
                <w:sz w:val="21"/>
                <w:szCs w:val="21"/>
              </w:rPr>
              <w:t>末次会议</w:t>
            </w:r>
          </w:p>
        </w:tc>
        <w:tc>
          <w:tcPr>
            <w:tcW w:w="1081"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张心、杨珍全</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23AE1DC5"/>
    <w:rsid w:val="2F337283"/>
    <w:rsid w:val="7EA06F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2586</Words>
  <Characters>3633</Characters>
  <Lines>37</Lines>
  <Paragraphs>10</Paragraphs>
  <TotalTime>4</TotalTime>
  <ScaleCrop>false</ScaleCrop>
  <LinksUpToDate>false</LinksUpToDate>
  <CharactersWithSpaces>3702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2023-01-07T01:40:57Z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2052-11.1.0.12980</vt:lpwstr>
  </property>
</Properties>
</file>