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0561-2020-QEO-2023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彤博士健康产业河北有限公司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彤博士健康产业河北有限公司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石家庄高新区兴安大街153号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石家庄高新区兴安大街153号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卓林双</w:t>
            </w:r>
            <w:bookmarkEnd w:id="10"/>
          </w:p>
        </w:tc>
        <w:tc>
          <w:tcPr>
            <w:tcW w:w="1313" w:type="dxa"/>
            <w:vAlign w:val="center"/>
          </w:tcPr>
          <w:p>
            <w:r>
              <w:rPr>
                <w:rFonts w:hint="eastAsia"/>
              </w:rPr>
              <w:t>电话.</w:t>
            </w:r>
          </w:p>
        </w:tc>
        <w:tc>
          <w:tcPr>
            <w:tcW w:w="2180" w:type="dxa"/>
            <w:vAlign w:val="center"/>
          </w:tcPr>
          <w:p>
            <w:bookmarkStart w:id="11" w:name="联系人电话"/>
            <w:r>
              <w:t>18033765825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卓林双</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吕美博</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12"/>
              <w:rPr>
                <w:rFonts w:ascii="Times New Roman" w:hAnsi="Times New Roman" w:eastAsia="宋体" w:cs="Times New Roman"/>
                <w:bCs w:val="0"/>
                <w:spacing w:val="0"/>
                <w:kern w:val="2"/>
                <w:sz w:val="20"/>
                <w:lang w:val="de-DE" w:eastAsia="zh-CN" w:bidi="ar-SA"/>
              </w:rPr>
            </w:pPr>
            <w:r>
              <w:rPr>
                <w:rFonts w:hint="eastAsia" w:ascii="Times New Roman" w:hAnsi="Times New Roman" w:eastAsia="宋体" w:cs="Times New Roman"/>
                <w:bCs w:val="0"/>
                <w:spacing w:val="0"/>
                <w:kern w:val="2"/>
                <w:sz w:val="20"/>
                <w:lang w:val="de-DE" w:eastAsia="zh-CN" w:bidi="ar-SA"/>
              </w:rPr>
              <w:t>固体饮料（粉剂）：原材料——称重——总混——内包装——外包装——检验入库。</w:t>
            </w:r>
          </w:p>
          <w:p>
            <w:pPr>
              <w:pStyle w:val="12"/>
              <w:rPr>
                <w:rFonts w:ascii="Times New Roman" w:hAnsi="Times New Roman" w:eastAsia="宋体" w:cs="Times New Roman"/>
                <w:bCs w:val="0"/>
                <w:spacing w:val="0"/>
                <w:kern w:val="2"/>
                <w:sz w:val="20"/>
                <w:lang w:val="de-DE" w:eastAsia="zh-CN" w:bidi="ar-SA"/>
              </w:rPr>
            </w:pPr>
            <w:r>
              <w:rPr>
                <w:rFonts w:hint="eastAsia" w:ascii="Times New Roman" w:hAnsi="Times New Roman" w:eastAsia="宋体" w:cs="Times New Roman"/>
                <w:bCs w:val="0"/>
                <w:spacing w:val="0"/>
                <w:kern w:val="2"/>
                <w:sz w:val="20"/>
                <w:lang w:val="de-DE" w:eastAsia="zh-CN" w:bidi="ar-SA"/>
              </w:rPr>
              <w:t xml:space="preserve">固体饮料（颗粒剂） ：原材料——称重——制粒——干燥——整粒——总混——内包装——外包装——检验入库。      </w:t>
            </w:r>
          </w:p>
          <w:p>
            <w:r>
              <w:rPr>
                <w:rFonts w:hint="eastAsia" w:ascii="Times New Roman" w:hAnsi="Times New Roman" w:eastAsia="宋体" w:cs="Times New Roman"/>
                <w:bCs w:val="0"/>
                <w:spacing w:val="0"/>
                <w:kern w:val="2"/>
                <w:sz w:val="20"/>
                <w:lang w:val="de-DE" w:eastAsia="zh-CN" w:bidi="ar-SA"/>
              </w:rPr>
              <w:t>油滴剂（食用油、油脂及其制品）：原料油——辅料——灌装——灯检——外包装——检验入库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605"/>
        <w:gridCol w:w="3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2023年02月11日 上午至2023年02月12日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石家庄高新区兴安大街153号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347" w:type="dxa"/>
            <w:gridSpan w:val="3"/>
            <w:vMerge w:val="restart"/>
            <w:vAlign w:val="center"/>
          </w:tcPr>
          <w:p>
            <w:bookmarkStart w:id="28" w:name="审核范围"/>
            <w:r>
              <w:t>Q：许可范围内的饮料、食用油、油脂及其制品、调味品的生产及销售.</w:t>
            </w:r>
          </w:p>
          <w:p>
            <w:r>
              <w:t>E：许可范围内的饮料、食用油、油脂及其制品、调味品的生产及销售所涉及场所的相关环境管理活动.</w:t>
            </w:r>
          </w:p>
          <w:p>
            <w:r>
              <w:t>O：许可范围内的饮料、食用油、油脂及其制品、调味品的生产及销售所涉及场所的相关职业健康安全管理活动.</w:t>
            </w:r>
            <w:bookmarkEnd w:id="28"/>
          </w:p>
        </w:tc>
        <w:tc>
          <w:tcPr>
            <w:tcW w:w="349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347" w:type="dxa"/>
            <w:gridSpan w:val="3"/>
            <w:vMerge w:val="continue"/>
            <w:vAlign w:val="center"/>
          </w:tcPr>
          <w:p/>
        </w:tc>
        <w:tc>
          <w:tcPr>
            <w:tcW w:w="3493" w:type="dxa"/>
            <w:vAlign w:val="center"/>
          </w:tcPr>
          <w:p>
            <w:bookmarkStart w:id="29" w:name="专业代码"/>
            <w:r>
              <w:t>Q：03.04.01;03.04.02;03.08.03;03.08.04</w:t>
            </w:r>
          </w:p>
          <w:p>
            <w:r>
              <w:t>E：03.04.01;03.04.02;03.08.03;03.08.04</w:t>
            </w:r>
          </w:p>
          <w:p>
            <w:r>
              <w:t>O：03.04.01;03.04.02;03.08.03;03.08.04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tc>
        <w:tc>
          <w:tcPr>
            <w:tcW w:w="1605" w:type="dxa"/>
            <w:vAlign w:val="center"/>
          </w:tcPr>
          <w:p>
            <w:r>
              <w:rPr>
                <w:rFonts w:hint="eastAsia"/>
              </w:rPr>
              <w:t>管理体系运行已超过3个月</w:t>
            </w:r>
          </w:p>
        </w:tc>
        <w:tc>
          <w:tcPr>
            <w:tcW w:w="3493"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2021年12月</w:t>
            </w:r>
            <w:r>
              <w:rPr>
                <w:rFonts w:hint="eastAsia"/>
                <w:lang w:val="en-US" w:eastAsia="zh-CN"/>
              </w:rPr>
              <w:t>11-</w:t>
            </w:r>
            <w:r>
              <w:rPr>
                <w:rFonts w:hint="eastAsia"/>
              </w:rPr>
              <w:t>13日</w:t>
            </w:r>
          </w:p>
        </w:tc>
        <w:tc>
          <w:tcPr>
            <w:tcW w:w="1605" w:type="dxa"/>
            <w:vAlign w:val="center"/>
          </w:tcPr>
          <w:p>
            <w:r>
              <w:rPr>
                <w:rFonts w:hint="eastAsia"/>
              </w:rPr>
              <w:t>认证证书有效期</w:t>
            </w:r>
          </w:p>
          <w:p>
            <w:r>
              <w:rPr>
                <w:rFonts w:hint="eastAsia"/>
              </w:rPr>
              <w:t>（初审除外）</w:t>
            </w:r>
          </w:p>
        </w:tc>
        <w:tc>
          <w:tcPr>
            <w:tcW w:w="3493" w:type="dxa"/>
            <w:vAlign w:val="center"/>
          </w:tcPr>
          <w:p>
            <w:r>
              <w:rPr>
                <w:rFonts w:hint="eastAsia"/>
              </w:rPr>
              <w:t>有效至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08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66"/>
        <w:gridCol w:w="1780"/>
        <w:gridCol w:w="560"/>
        <w:gridCol w:w="2830"/>
        <w:gridCol w:w="17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w:t>
            </w:r>
          </w:p>
        </w:tc>
        <w:tc>
          <w:tcPr>
            <w:tcW w:w="1666" w:type="dxa"/>
            <w:shd w:val="clear" w:color="auto" w:fill="F3F3F3"/>
            <w:tcMar>
              <w:left w:w="57" w:type="dxa"/>
              <w:right w:w="57" w:type="dxa"/>
            </w:tcMar>
          </w:tcPr>
          <w:p>
            <w:r>
              <w:rPr>
                <w:rFonts w:hint="eastAsia"/>
              </w:rPr>
              <w:t>注册场所地址</w:t>
            </w:r>
          </w:p>
        </w:tc>
        <w:tc>
          <w:tcPr>
            <w:tcW w:w="1780" w:type="dxa"/>
            <w:shd w:val="clear" w:color="auto" w:fill="F3F3F3"/>
            <w:tcMar>
              <w:left w:w="57" w:type="dxa"/>
              <w:right w:w="57" w:type="dxa"/>
            </w:tcMar>
          </w:tcPr>
          <w:p>
            <w:r>
              <w:rPr>
                <w:rFonts w:hint="eastAsia"/>
              </w:rPr>
              <w:t>经营场所的地址</w:t>
            </w:r>
          </w:p>
        </w:tc>
        <w:tc>
          <w:tcPr>
            <w:tcW w:w="560" w:type="dxa"/>
            <w:shd w:val="clear" w:color="auto" w:fill="F3F3F3"/>
            <w:tcMar>
              <w:left w:w="57" w:type="dxa"/>
              <w:right w:w="57" w:type="dxa"/>
            </w:tcMar>
          </w:tcPr>
          <w:p>
            <w:r>
              <w:rPr>
                <w:rFonts w:hint="eastAsia"/>
              </w:rPr>
              <w:t>员工人数</w:t>
            </w:r>
          </w:p>
        </w:tc>
        <w:tc>
          <w:tcPr>
            <w:tcW w:w="2830" w:type="dxa"/>
            <w:shd w:val="clear" w:color="auto" w:fill="F3F3F3"/>
            <w:tcMar>
              <w:left w:w="57" w:type="dxa"/>
              <w:right w:w="57" w:type="dxa"/>
            </w:tcMar>
          </w:tcPr>
          <w:p>
            <w:r>
              <w:rPr>
                <w:rFonts w:hint="eastAsia"/>
              </w:rPr>
              <w:t>审核范围（产品和过程）</w:t>
            </w:r>
          </w:p>
          <w:p/>
          <w:p/>
        </w:tc>
        <w:tc>
          <w:tcPr>
            <w:tcW w:w="17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rFonts w:ascii="Times New Roman" w:hAnsi="Times New Roman" w:eastAsia="宋体" w:cs="Times New Roman"/>
                <w:kern w:val="2"/>
                <w:sz w:val="21"/>
                <w:szCs w:val="24"/>
                <w:lang w:val="en-US" w:eastAsia="ja-JP" w:bidi="ar-SA"/>
              </w:rPr>
            </w:pPr>
            <w:r>
              <w:rPr>
                <w:rFonts w:hint="eastAsia"/>
                <w:lang w:eastAsia="ja-JP"/>
              </w:rPr>
              <w:t>01</w:t>
            </w:r>
          </w:p>
        </w:tc>
        <w:tc>
          <w:tcPr>
            <w:tcW w:w="1666" w:type="dxa"/>
            <w:vAlign w:val="top"/>
          </w:tcPr>
          <w:p>
            <w:pPr>
              <w:rPr>
                <w:rFonts w:ascii="Times New Roman" w:hAnsi="Times New Roman" w:eastAsia="宋体" w:cs="Times New Roman"/>
                <w:kern w:val="2"/>
                <w:sz w:val="21"/>
                <w:szCs w:val="24"/>
                <w:lang w:val="de-DE" w:eastAsia="ja-JP" w:bidi="ar-SA"/>
              </w:rPr>
            </w:pPr>
            <w:r>
              <w:t>石家庄高新区兴安大街153号</w:t>
            </w:r>
          </w:p>
        </w:tc>
        <w:tc>
          <w:tcPr>
            <w:tcW w:w="1780" w:type="dxa"/>
            <w:vAlign w:val="top"/>
          </w:tcPr>
          <w:p>
            <w:pPr>
              <w:rPr>
                <w:rFonts w:ascii="Times New Roman" w:hAnsi="Times New Roman" w:eastAsia="宋体" w:cs="Times New Roman"/>
                <w:kern w:val="2"/>
                <w:sz w:val="21"/>
                <w:szCs w:val="24"/>
                <w:lang w:val="de-DE" w:eastAsia="ja-JP" w:bidi="ar-SA"/>
              </w:rPr>
            </w:pPr>
            <w:r>
              <w:t>石家庄高新区兴安大街153号</w:t>
            </w:r>
          </w:p>
        </w:tc>
        <w:tc>
          <w:tcPr>
            <w:tcW w:w="56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39</w:t>
            </w:r>
          </w:p>
        </w:tc>
        <w:tc>
          <w:tcPr>
            <w:tcW w:w="2830" w:type="dxa"/>
            <w:vAlign w:val="center"/>
          </w:tcPr>
          <w:p>
            <w:pPr>
              <w:rPr>
                <w:rFonts w:ascii="Times New Roman" w:hAnsi="Times New Roman" w:eastAsia="宋体" w:cs="Times New Roman"/>
                <w:kern w:val="2"/>
                <w:sz w:val="21"/>
                <w:szCs w:val="24"/>
                <w:lang w:val="en-US" w:eastAsia="ja-JP" w:bidi="ar-SA"/>
              </w:rPr>
            </w:pPr>
            <w:r>
              <w:t>Q：许可范围内的饮料、食用油、油脂及其制品、调味品的生产及销售</w:t>
            </w:r>
          </w:p>
        </w:tc>
        <w:tc>
          <w:tcPr>
            <w:tcW w:w="174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GB/T19001-2016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ascii="Times New Roman" w:hAnsi="Times New Roman" w:eastAsia="宋体" w:cs="Times New Roman"/>
                <w:kern w:val="2"/>
                <w:sz w:val="21"/>
                <w:szCs w:val="24"/>
                <w:lang w:val="en-US" w:eastAsia="ja-JP" w:bidi="ar-SA"/>
              </w:rPr>
            </w:pPr>
            <w:r>
              <w:rPr>
                <w:rFonts w:hint="eastAsia"/>
                <w:lang w:eastAsia="ja-JP"/>
              </w:rPr>
              <w:t>02</w:t>
            </w:r>
          </w:p>
        </w:tc>
        <w:tc>
          <w:tcPr>
            <w:tcW w:w="1666" w:type="dxa"/>
            <w:vAlign w:val="top"/>
          </w:tcPr>
          <w:p>
            <w:pPr>
              <w:rPr>
                <w:rFonts w:ascii="Times New Roman" w:hAnsi="Times New Roman" w:eastAsia="宋体" w:cs="Times New Roman"/>
                <w:kern w:val="2"/>
                <w:sz w:val="21"/>
                <w:szCs w:val="24"/>
                <w:lang w:val="de-DE" w:eastAsia="ja-JP" w:bidi="ar-SA"/>
              </w:rPr>
            </w:pPr>
            <w:r>
              <w:t>石家庄高新区兴安大街153号</w:t>
            </w:r>
          </w:p>
        </w:tc>
        <w:tc>
          <w:tcPr>
            <w:tcW w:w="1780" w:type="dxa"/>
            <w:vAlign w:val="top"/>
          </w:tcPr>
          <w:p>
            <w:pPr>
              <w:rPr>
                <w:rFonts w:ascii="Times New Roman" w:hAnsi="Times New Roman" w:eastAsia="宋体" w:cs="Times New Roman"/>
                <w:kern w:val="2"/>
                <w:sz w:val="21"/>
                <w:szCs w:val="24"/>
                <w:lang w:val="de-DE" w:eastAsia="ja-JP" w:bidi="ar-SA"/>
              </w:rPr>
            </w:pPr>
            <w:r>
              <w:t>石家庄高新区兴安大街153号</w:t>
            </w:r>
          </w:p>
        </w:tc>
        <w:tc>
          <w:tcPr>
            <w:tcW w:w="560" w:type="dxa"/>
            <w:vAlign w:val="center"/>
          </w:tcPr>
          <w:p>
            <w:pPr>
              <w:rPr>
                <w:rFonts w:ascii="Times New Roman" w:hAnsi="Times New Roman" w:eastAsia="宋体" w:cs="Times New Roman"/>
                <w:kern w:val="2"/>
                <w:sz w:val="21"/>
                <w:szCs w:val="24"/>
                <w:lang w:val="en-US" w:eastAsia="ja-JP" w:bidi="ar-SA"/>
              </w:rPr>
            </w:pPr>
            <w:r>
              <w:rPr>
                <w:rFonts w:hint="eastAsia"/>
                <w:lang w:val="en-US" w:eastAsia="zh-CN"/>
              </w:rPr>
              <w:t>39</w:t>
            </w:r>
          </w:p>
        </w:tc>
        <w:tc>
          <w:tcPr>
            <w:tcW w:w="2830" w:type="dxa"/>
            <w:vAlign w:val="center"/>
          </w:tcPr>
          <w:p>
            <w:pPr>
              <w:rPr>
                <w:rFonts w:ascii="Times New Roman" w:hAnsi="Times New Roman" w:eastAsia="宋体" w:cs="Times New Roman"/>
                <w:kern w:val="2"/>
                <w:sz w:val="21"/>
                <w:szCs w:val="24"/>
                <w:lang w:val="en-US" w:eastAsia="ja-JP" w:bidi="ar-SA"/>
              </w:rPr>
            </w:pPr>
            <w:r>
              <w:t>E：许可范围内的饮料、食用油、油脂及其制品、调味品的生产及销售所涉及的相关环境管理活动</w:t>
            </w:r>
          </w:p>
        </w:tc>
        <w:tc>
          <w:tcPr>
            <w:tcW w:w="1741" w:type="dxa"/>
            <w:vAlign w:val="center"/>
          </w:tcPr>
          <w:p>
            <w:pPr>
              <w:rPr>
                <w:rFonts w:ascii="Times New Roman" w:hAnsi="Times New Roman" w:eastAsia="宋体" w:cs="Times New Roman"/>
                <w:kern w:val="2"/>
                <w:sz w:val="21"/>
                <w:szCs w:val="24"/>
                <w:lang w:val="en-US" w:eastAsia="ja-JP" w:bidi="ar-SA"/>
              </w:rPr>
            </w:pPr>
            <w:r>
              <w:rPr>
                <w:rFonts w:hint="eastAsia"/>
                <w:lang w:val="en-US" w:eastAsia="zh-CN"/>
              </w:rPr>
              <w:t>GB/T24001-2016</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rFonts w:ascii="Times New Roman" w:hAnsi="Times New Roman" w:eastAsia="宋体" w:cs="Times New Roman"/>
                <w:kern w:val="2"/>
                <w:sz w:val="21"/>
                <w:szCs w:val="24"/>
                <w:lang w:val="en-US" w:eastAsia="ja-JP" w:bidi="ar-SA"/>
              </w:rPr>
            </w:pPr>
            <w:r>
              <w:rPr>
                <w:rFonts w:hint="eastAsia"/>
                <w:lang w:eastAsia="ja-JP"/>
              </w:rPr>
              <w:t>03</w:t>
            </w:r>
          </w:p>
        </w:tc>
        <w:tc>
          <w:tcPr>
            <w:tcW w:w="1666" w:type="dxa"/>
            <w:vAlign w:val="top"/>
          </w:tcPr>
          <w:p>
            <w:pPr>
              <w:rPr>
                <w:rFonts w:ascii="Times New Roman" w:hAnsi="Times New Roman" w:eastAsia="宋体" w:cs="Times New Roman"/>
                <w:kern w:val="2"/>
                <w:sz w:val="21"/>
                <w:szCs w:val="24"/>
                <w:lang w:val="de-DE" w:eastAsia="ja-JP" w:bidi="ar-SA"/>
              </w:rPr>
            </w:pPr>
            <w:r>
              <w:t>石家庄高新区兴安大街153号</w:t>
            </w:r>
          </w:p>
        </w:tc>
        <w:tc>
          <w:tcPr>
            <w:tcW w:w="1780" w:type="dxa"/>
            <w:vAlign w:val="top"/>
          </w:tcPr>
          <w:p>
            <w:pPr>
              <w:rPr>
                <w:rFonts w:ascii="Times New Roman" w:hAnsi="Times New Roman" w:eastAsia="宋体" w:cs="Times New Roman"/>
                <w:kern w:val="2"/>
                <w:sz w:val="21"/>
                <w:szCs w:val="24"/>
                <w:lang w:val="de-DE" w:eastAsia="ja-JP" w:bidi="ar-SA"/>
              </w:rPr>
            </w:pPr>
            <w:r>
              <w:t>石家庄高新区兴安大街153号</w:t>
            </w:r>
          </w:p>
        </w:tc>
        <w:tc>
          <w:tcPr>
            <w:tcW w:w="560" w:type="dxa"/>
            <w:vAlign w:val="center"/>
          </w:tcPr>
          <w:p>
            <w:pPr>
              <w:rPr>
                <w:rFonts w:ascii="Times New Roman" w:hAnsi="Times New Roman" w:eastAsia="宋体" w:cs="Times New Roman"/>
                <w:kern w:val="2"/>
                <w:sz w:val="21"/>
                <w:szCs w:val="24"/>
                <w:lang w:val="en-US" w:eastAsia="ja-JP" w:bidi="ar-SA"/>
              </w:rPr>
            </w:pPr>
            <w:r>
              <w:rPr>
                <w:rFonts w:hint="eastAsia"/>
                <w:lang w:val="en-US" w:eastAsia="zh-CN"/>
              </w:rPr>
              <w:t>39</w:t>
            </w:r>
          </w:p>
        </w:tc>
        <w:tc>
          <w:tcPr>
            <w:tcW w:w="2830" w:type="dxa"/>
            <w:vAlign w:val="center"/>
          </w:tcPr>
          <w:p>
            <w:pPr>
              <w:rPr>
                <w:rFonts w:ascii="Times New Roman" w:hAnsi="Times New Roman" w:eastAsia="宋体" w:cs="Times New Roman"/>
                <w:kern w:val="2"/>
                <w:sz w:val="21"/>
                <w:szCs w:val="24"/>
                <w:lang w:val="en-US" w:eastAsia="ja-JP" w:bidi="ar-SA"/>
              </w:rPr>
            </w:pPr>
            <w:r>
              <w:t>O：许可范围内的饮料、食用油、油脂及其制品、调味品的生产及销售所涉及的相关职业健康安全管理活动</w:t>
            </w:r>
          </w:p>
        </w:tc>
        <w:tc>
          <w:tcPr>
            <w:tcW w:w="174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900"/>
        <w:gridCol w:w="740"/>
        <w:gridCol w:w="2610"/>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900" w:type="dxa"/>
            <w:vAlign w:val="center"/>
          </w:tcPr>
          <w:p>
            <w:r>
              <w:rPr>
                <w:rFonts w:hint="eastAsia"/>
              </w:rPr>
              <w:t>组内</w:t>
            </w:r>
          </w:p>
          <w:p>
            <w:r>
              <w:rPr>
                <w:rFonts w:hint="eastAsia"/>
              </w:rPr>
              <w:t>身份</w:t>
            </w:r>
          </w:p>
        </w:tc>
        <w:tc>
          <w:tcPr>
            <w:tcW w:w="740" w:type="dxa"/>
            <w:vAlign w:val="center"/>
          </w:tcPr>
          <w:p>
            <w:r>
              <w:rPr>
                <w:rFonts w:hint="eastAsia"/>
              </w:rPr>
              <w:t>性别</w:t>
            </w:r>
          </w:p>
        </w:tc>
        <w:tc>
          <w:tcPr>
            <w:tcW w:w="2610" w:type="dxa"/>
            <w:vAlign w:val="center"/>
          </w:tcPr>
          <w:p>
            <w:r>
              <w:rPr>
                <w:rFonts w:hint="eastAsia"/>
              </w:rPr>
              <w:t>审核员注册证书号</w:t>
            </w:r>
          </w:p>
        </w:tc>
        <w:tc>
          <w:tcPr>
            <w:tcW w:w="359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900" w:type="dxa"/>
            <w:vAlign w:val="center"/>
          </w:tcPr>
          <w:p>
            <w:r>
              <w:t>组长</w:t>
            </w:r>
          </w:p>
        </w:tc>
        <w:tc>
          <w:tcPr>
            <w:tcW w:w="740" w:type="dxa"/>
            <w:vAlign w:val="center"/>
          </w:tcPr>
          <w:p>
            <w:r>
              <w:t>女</w:t>
            </w:r>
          </w:p>
        </w:tc>
        <w:tc>
          <w:tcPr>
            <w:tcW w:w="2610" w:type="dxa"/>
            <w:vAlign w:val="center"/>
          </w:tcPr>
          <w:p>
            <w:r>
              <w:t>2022-N1QMS-4022240</w:t>
            </w:r>
          </w:p>
          <w:p>
            <w:r>
              <w:t>2022-N1EMS-4022240</w:t>
            </w:r>
          </w:p>
          <w:p>
            <w:r>
              <w:t>2023-N1OHSMS-4022240</w:t>
            </w:r>
          </w:p>
        </w:tc>
        <w:tc>
          <w:tcPr>
            <w:tcW w:w="359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900" w:type="dxa"/>
            <w:vAlign w:val="center"/>
          </w:tcPr>
          <w:p>
            <w:r>
              <w:t>组员</w:t>
            </w:r>
          </w:p>
        </w:tc>
        <w:tc>
          <w:tcPr>
            <w:tcW w:w="740" w:type="dxa"/>
            <w:vAlign w:val="center"/>
          </w:tcPr>
          <w:p>
            <w:r>
              <w:t>女</w:t>
            </w:r>
          </w:p>
        </w:tc>
        <w:tc>
          <w:tcPr>
            <w:tcW w:w="2610" w:type="dxa"/>
            <w:vAlign w:val="center"/>
          </w:tcPr>
          <w:p>
            <w:r>
              <w:t>2021-N1QMS-1215052</w:t>
            </w:r>
          </w:p>
          <w:p>
            <w:r>
              <w:t>2022-N1EMS-1215052</w:t>
            </w:r>
          </w:p>
          <w:p>
            <w:r>
              <w:t>2022-N1OHSMS-1215052</w:t>
            </w:r>
          </w:p>
        </w:tc>
        <w:tc>
          <w:tcPr>
            <w:tcW w:w="359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both"/>
              <w:rPr>
                <w:rFonts w:hint="eastAsia" w:ascii="Times New Roman" w:hAnsi="Times New Roman" w:eastAsia="宋体" w:cs="Times New Roman"/>
                <w:kern w:val="2"/>
                <w:sz w:val="20"/>
                <w:szCs w:val="24"/>
                <w:lang w:val="en-US" w:eastAsia="zh-CN" w:bidi="ar-SA"/>
              </w:rPr>
            </w:pPr>
            <w:r>
              <w:rPr>
                <w:sz w:val="20"/>
                <w:lang w:val="de-DE"/>
              </w:rPr>
              <w:t>杨捷</w:t>
            </w:r>
          </w:p>
        </w:tc>
        <w:tc>
          <w:tcPr>
            <w:tcW w:w="900" w:type="dxa"/>
            <w:vAlign w:val="center"/>
          </w:tcPr>
          <w:p>
            <w:pPr>
              <w:jc w:val="both"/>
              <w:rPr>
                <w:rFonts w:hint="default" w:ascii="Times New Roman" w:hAnsi="Times New Roman" w:eastAsia="宋体" w:cs="Times New Roman"/>
                <w:kern w:val="2"/>
                <w:sz w:val="20"/>
                <w:szCs w:val="24"/>
                <w:lang w:val="en-US" w:eastAsia="zh-CN" w:bidi="ar-SA"/>
              </w:rPr>
            </w:pPr>
            <w:r>
              <w:rPr>
                <w:rFonts w:hint="eastAsia" w:ascii="Times New Roman" w:hAnsi="Times New Roman" w:eastAsia="宋体" w:cs="Times New Roman"/>
                <w:kern w:val="2"/>
                <w:sz w:val="20"/>
                <w:szCs w:val="24"/>
                <w:lang w:val="en-US" w:eastAsia="zh-CN" w:bidi="ar-SA"/>
              </w:rPr>
              <w:t>组员</w:t>
            </w:r>
          </w:p>
        </w:tc>
        <w:tc>
          <w:tcPr>
            <w:tcW w:w="740" w:type="dxa"/>
            <w:vAlign w:val="center"/>
          </w:tcPr>
          <w:p>
            <w:pPr>
              <w:jc w:val="center"/>
              <w:rPr>
                <w:rFonts w:ascii="Times New Roman" w:hAnsi="Times New Roman" w:eastAsia="宋体" w:cs="Times New Roman"/>
                <w:kern w:val="2"/>
                <w:sz w:val="20"/>
                <w:szCs w:val="24"/>
                <w:lang w:val="de-DE" w:eastAsia="zh-CN" w:bidi="ar-SA"/>
              </w:rPr>
            </w:pPr>
            <w:r>
              <w:rPr>
                <w:sz w:val="20"/>
                <w:lang w:val="de-DE"/>
              </w:rPr>
              <w:t>女</w:t>
            </w:r>
          </w:p>
        </w:tc>
        <w:tc>
          <w:tcPr>
            <w:tcW w:w="2610" w:type="dxa"/>
            <w:vAlign w:val="center"/>
          </w:tcPr>
          <w:p>
            <w:pPr>
              <w:jc w:val="both"/>
              <w:rPr>
                <w:sz w:val="20"/>
                <w:lang w:val="de-DE"/>
              </w:rPr>
            </w:pPr>
            <w:r>
              <w:rPr>
                <w:sz w:val="20"/>
                <w:lang w:val="de-DE"/>
              </w:rPr>
              <w:t>ISC-JSZJ-163</w:t>
            </w:r>
          </w:p>
          <w:p>
            <w:pPr>
              <w:jc w:val="both"/>
              <w:rPr>
                <w:sz w:val="20"/>
                <w:lang w:val="de-DE"/>
              </w:rPr>
            </w:pPr>
            <w:r>
              <w:rPr>
                <w:sz w:val="20"/>
                <w:lang w:val="de-DE"/>
              </w:rPr>
              <w:t>ISC-JSZJ-163</w:t>
            </w:r>
          </w:p>
          <w:p>
            <w:pPr>
              <w:jc w:val="both"/>
              <w:rPr>
                <w:rFonts w:ascii="Times New Roman" w:hAnsi="Times New Roman" w:eastAsia="宋体" w:cs="Times New Roman"/>
                <w:kern w:val="2"/>
                <w:sz w:val="20"/>
                <w:szCs w:val="24"/>
                <w:lang w:val="de-DE" w:eastAsia="zh-CN" w:bidi="ar-SA"/>
              </w:rPr>
            </w:pPr>
            <w:r>
              <w:rPr>
                <w:sz w:val="20"/>
                <w:lang w:val="de-DE"/>
              </w:rPr>
              <w:t>ISC-JSZJ-163</w:t>
            </w:r>
          </w:p>
        </w:tc>
        <w:tc>
          <w:tcPr>
            <w:tcW w:w="3599" w:type="dxa"/>
            <w:vAlign w:val="center"/>
          </w:tcPr>
          <w:p>
            <w:r>
              <w:t>Q:03.04.01,03.04.02,03.08.03,03.08.04</w:t>
            </w:r>
          </w:p>
          <w:p>
            <w:r>
              <w:t>E:03.04.01,03.04.02,03.08.03,03.08.04</w:t>
            </w:r>
          </w:p>
          <w:p>
            <w:r>
              <w:t>O:03.04.01,03.04.02,03.08.03,03.08.04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900" w:type="dxa"/>
            <w:vAlign w:val="center"/>
          </w:tcPr>
          <w:p>
            <w:r>
              <w:rPr>
                <w:rFonts w:hint="eastAsia"/>
              </w:rPr>
              <w:t>作用</w:t>
            </w:r>
          </w:p>
        </w:tc>
        <w:tc>
          <w:tcPr>
            <w:tcW w:w="740" w:type="dxa"/>
            <w:vAlign w:val="center"/>
          </w:tcPr>
          <w:p>
            <w:r>
              <w:rPr>
                <w:rFonts w:hint="eastAsia"/>
              </w:rPr>
              <w:t>性别</w:t>
            </w:r>
          </w:p>
        </w:tc>
        <w:tc>
          <w:tcPr>
            <w:tcW w:w="2610" w:type="dxa"/>
            <w:vAlign w:val="center"/>
          </w:tcPr>
          <w:p>
            <w:r>
              <w:rPr>
                <w:rFonts w:hint="eastAsia"/>
              </w:rPr>
              <w:t>工作单位</w:t>
            </w:r>
          </w:p>
        </w:tc>
        <w:tc>
          <w:tcPr>
            <w:tcW w:w="359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900" w:type="dxa"/>
            <w:vAlign w:val="center"/>
          </w:tcPr>
          <w:p/>
        </w:tc>
        <w:tc>
          <w:tcPr>
            <w:tcW w:w="740" w:type="dxa"/>
            <w:vAlign w:val="center"/>
          </w:tcPr>
          <w:p/>
        </w:tc>
        <w:tc>
          <w:tcPr>
            <w:tcW w:w="2610" w:type="dxa"/>
            <w:vAlign w:val="center"/>
          </w:tcPr>
          <w:p/>
        </w:tc>
        <w:tc>
          <w:tcPr>
            <w:tcW w:w="359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管代发生了变更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上次不符合已改正，本次审核未发现类型问题。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default" w:eastAsia="宋体"/>
                <w:lang w:val="en-US" w:eastAsia="zh-CN"/>
              </w:rPr>
            </w:pPr>
            <w:r>
              <w:rPr>
                <w:rFonts w:hint="eastAsia"/>
                <w:lang w:val="en-US" w:eastAsia="zh-CN"/>
              </w:rPr>
              <w:t>吉洁</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2023年2月12日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lang w:val="en-US" w:eastAsia="zh-CN"/>
              </w:rPr>
              <w:t>以质量求生存。以</w:t>
            </w:r>
            <w:r>
              <w:rPr>
                <w:rFonts w:hint="eastAsia"/>
                <w:lang w:val="zh-CN" w:eastAsia="zh-CN"/>
              </w:rPr>
              <w:t>创新</w:t>
            </w:r>
            <w:r>
              <w:rPr>
                <w:rFonts w:hint="eastAsia"/>
                <w:lang w:val="en-US" w:eastAsia="zh-CN"/>
              </w:rPr>
              <w:t>谋发展</w:t>
            </w:r>
            <w:r>
              <w:rPr>
                <w:rFonts w:hint="eastAsia"/>
                <w:lang w:val="zh-CN" w:eastAsia="zh-CN"/>
              </w:rPr>
              <w:t>，</w:t>
            </w:r>
            <w:r>
              <w:rPr>
                <w:rFonts w:hint="eastAsia"/>
                <w:lang w:val="en-US" w:eastAsia="zh-CN"/>
              </w:rPr>
              <w:t>以健康筑未来。</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质量部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控制原辅材料采购风险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加强原辅材料的采购控制，确保采购质量</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生产过程（关键过程）风险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控制关键过程</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产品检验风险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提高人员能力，检测设备定期校准或检定</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Times New Roman"/>
                    </w:rPr>
                    <w:t>产品出厂合格率100%</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合格品产量/总产量X100%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质量部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Times New Roman"/>
                    </w:rPr>
                    <w:t>产品抽检合格率100%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产品抽检全部合格</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质量部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Times New Roman"/>
                    </w:rPr>
                    <w:t>客户投诉处理率100%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客户投诉处理数量/客户投诉数量X100%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质量部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Times New Roman"/>
                    </w:rPr>
                    <w:t>重大质量事故为0</w:t>
                  </w:r>
                </w:p>
              </w:tc>
              <w:tc>
                <w:tcPr>
                  <w:tcW w:w="3136"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无重大质量事故</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质量部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ascii="宋体" w:hAnsi="宋体" w:cs="宋体"/>
                <w:szCs w:val="21"/>
              </w:rPr>
              <w:t>20358</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2</w:t>
            </w:r>
            <w:r>
              <w:rPr>
                <w:rFonts w:hint="eastAsia"/>
              </w:rPr>
              <w:t>个；</w:t>
            </w:r>
          </w:p>
          <w:p>
            <w:pPr>
              <w:shd w:val="clear" w:color="auto" w:fill="C7DAF1" w:themeFill="text2" w:themeFillTint="32"/>
              <w:rPr>
                <w:u w:val="single"/>
              </w:rPr>
            </w:pPr>
            <w:r>
              <w:rPr>
                <w:rFonts w:hint="eastAsia"/>
              </w:rPr>
              <w:t>主要生产设备有：</w:t>
            </w:r>
            <w:r>
              <w:rPr>
                <w:rFonts w:hint="eastAsia"/>
                <w:highlight w:val="none"/>
                <w:u w:val="single"/>
              </w:rPr>
              <w:t>湿法制粒混合机、二维运动混合机、条状包装机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highlight w:val="none"/>
                <w:lang w:eastAsia="zh-CN"/>
              </w:rPr>
              <w:t>（</w:t>
            </w:r>
            <w:r>
              <w:rPr>
                <w:rFonts w:hint="eastAsia"/>
                <w:highlight w:val="none"/>
                <w:lang w:val="en-US" w:eastAsia="zh-CN"/>
              </w:rPr>
              <w:t>简单压力容器</w:t>
            </w:r>
            <w:r>
              <w:rPr>
                <w:rFonts w:hint="eastAsia"/>
                <w:highlight w:val="none"/>
                <w:lang w:eastAsia="zh-CN"/>
              </w:rPr>
              <w:t>）</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国家强检的计量器具有：电子计重台秤</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282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r>
                    <w:rPr>
                      <w:rFonts w:hint="eastAsia"/>
                    </w:rPr>
                    <w:t>产品/服务名称</w:t>
                  </w:r>
                </w:p>
              </w:tc>
              <w:tc>
                <w:tcPr>
                  <w:tcW w:w="282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r>
                    <w:rPr>
                      <w:b w:val="0"/>
                      <w:bCs w:val="0"/>
                      <w:sz w:val="21"/>
                      <w:szCs w:val="21"/>
                    </w:rPr>
                    <w:t>饮料、食用油、油脂及其制品、调味品的生产</w:t>
                  </w:r>
                </w:p>
              </w:tc>
              <w:tc>
                <w:tcPr>
                  <w:tcW w:w="2823" w:type="dxa"/>
                </w:tcPr>
                <w:p>
                  <w:pPr>
                    <w:shd w:val="clear" w:color="auto" w:fill="C7DAF1" w:themeFill="text2" w:themeFillTint="32"/>
                    <w:jc w:val="left"/>
                  </w:pPr>
                  <w:r>
                    <w:rPr>
                      <w:rFonts w:hint="eastAsia" w:ascii="Times New Roman" w:hAnsi="Times New Roman" w:eastAsia="宋体" w:cs="Times New Roman"/>
                      <w:bCs w:val="0"/>
                      <w:spacing w:val="0"/>
                      <w:kern w:val="2"/>
                      <w:sz w:val="20"/>
                      <w:lang w:val="de-DE" w:eastAsia="zh-CN" w:bidi="ar-SA"/>
                    </w:rPr>
                    <w:t>原辅料验收、称量、混料、分装</w:t>
                  </w:r>
                </w:p>
              </w:tc>
              <w:tc>
                <w:tcPr>
                  <w:tcW w:w="3265" w:type="dxa"/>
                </w:tcPr>
                <w:p>
                  <w:pPr>
                    <w:shd w:val="clear" w:color="auto" w:fill="C7DAF1" w:themeFill="text2" w:themeFillTint="32"/>
                    <w:jc w:val="left"/>
                  </w:pPr>
                  <w:r>
                    <w:rPr>
                      <w:rFonts w:hint="eastAsia" w:ascii="Times New Roman" w:hAnsi="Times New Roman" w:eastAsia="宋体" w:cs="Times New Roman"/>
                      <w:bCs w:val="0"/>
                      <w:spacing w:val="0"/>
                      <w:kern w:val="2"/>
                      <w:sz w:val="20"/>
                      <w:lang w:val="en-US" w:eastAsia="zh-CN" w:bidi="ar-SA"/>
                    </w:rPr>
                    <w:t>配比、重量</w:t>
                  </w:r>
                  <w:r>
                    <w:rPr>
                      <w:rFonts w:hint="eastAsia" w:cs="Times New Roman"/>
                      <w:bCs w:val="0"/>
                      <w:spacing w:val="0"/>
                      <w:kern w:val="2"/>
                      <w:sz w:val="20"/>
                      <w:lang w:val="en-US" w:eastAsia="zh-CN" w:bidi="ar-SA"/>
                    </w:rPr>
                    <w:t>、</w:t>
                  </w:r>
                  <w:r>
                    <w:rPr>
                      <w:rFonts w:hint="eastAsia" w:ascii="Times New Roman" w:hAnsi="Times New Roman" w:eastAsia="宋体" w:cs="Times New Roman"/>
                      <w:bCs w:val="0"/>
                      <w:spacing w:val="0"/>
                      <w:kern w:val="2"/>
                      <w:sz w:val="20"/>
                      <w:lang w:val="en-US" w:eastAsia="zh-CN" w:bidi="ar-SA"/>
                    </w:rPr>
                    <w:t>温度、时间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p>
              </w:tc>
              <w:tc>
                <w:tcPr>
                  <w:tcW w:w="282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tcPr>
                <w:p>
                  <w:pPr>
                    <w:shd w:val="clear" w:color="auto" w:fill="C7DAF1" w:themeFill="text2" w:themeFillTint="32"/>
                    <w:jc w:val="left"/>
                  </w:pPr>
                </w:p>
              </w:tc>
              <w:tc>
                <w:tcPr>
                  <w:tcW w:w="282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配方的确定</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水苏糖固体饮料的检验报告（No.ZD2021SY05372</w:t>
            </w:r>
            <w:bookmarkStart w:id="33" w:name="_GoBack"/>
            <w:bookmarkEnd w:id="33"/>
            <w:r>
              <w:rPr>
                <w:rFonts w:hint="eastAsia"/>
                <w:lang w:val="en-US" w:eastAsia="zh-CN"/>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20-21</w:t>
            </w:r>
            <w:r>
              <w:rPr>
                <w:rFonts w:hint="eastAsia"/>
              </w:rPr>
              <w:t>日实施了质量管理体系内部审核，对质量管理体系的符合性和有效性进行了审核。内审发现的</w:t>
            </w:r>
            <w:r>
              <w:rPr>
                <w:rFonts w:hint="eastAsia"/>
                <w:lang w:val="en-US" w:eastAsia="zh-CN"/>
              </w:rPr>
              <w:t>3</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default"/>
                <w:u w:val="single"/>
                <w:lang w:val="en-US"/>
              </w:rPr>
            </w:pPr>
            <w:r>
              <w:rPr>
                <w:rFonts w:hint="eastAsia"/>
                <w:lang w:val="en-US" w:eastAsia="zh-CN"/>
              </w:rPr>
              <w:t>以质量求生存。以</w:t>
            </w:r>
            <w:r>
              <w:rPr>
                <w:rFonts w:hint="eastAsia"/>
                <w:lang w:val="zh-CN" w:eastAsia="zh-CN"/>
              </w:rPr>
              <w:t>创新</w:t>
            </w:r>
            <w:r>
              <w:rPr>
                <w:rFonts w:hint="eastAsia"/>
                <w:lang w:val="en-US" w:eastAsia="zh-CN"/>
              </w:rPr>
              <w:t>谋发展</w:t>
            </w:r>
            <w:r>
              <w:rPr>
                <w:rFonts w:hint="eastAsia"/>
                <w:lang w:val="zh-CN" w:eastAsia="zh-CN"/>
              </w:rPr>
              <w:t>，</w:t>
            </w:r>
            <w:r>
              <w:rPr>
                <w:rFonts w:hint="eastAsia"/>
                <w:lang w:val="en-US" w:eastAsia="zh-CN"/>
              </w:rPr>
              <w:t>以健康筑未来。</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危化品泄露</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制定应急预案，进行演练等</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w:t>
            </w:r>
            <w:r>
              <w:rPr>
                <w:rFonts w:hint="eastAsia"/>
                <w:lang w:eastAsia="zh-CN"/>
              </w:rPr>
              <w:t>☑</w:t>
            </w:r>
            <w:r>
              <w:rPr>
                <w:rFonts w:hint="eastAsia"/>
              </w:rPr>
              <w:t>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环境影响报告表日期：2019年5月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lang w:eastAsia="zh-CN"/>
              </w:rPr>
              <w:t>☑</w:t>
            </w:r>
            <w:r>
              <w:rPr>
                <w:rFonts w:hint="eastAsia"/>
              </w:rPr>
              <w:t>设备降噪</w:t>
            </w:r>
            <w:r>
              <w:rPr>
                <w:rFonts w:hint="eastAsia"/>
                <w:lang w:eastAsia="zh-CN"/>
              </w:rPr>
              <w:t>☑</w:t>
            </w:r>
            <w:r>
              <w:rPr>
                <w:rFonts w:hint="eastAsia"/>
              </w:rPr>
              <w:t>危废合法处置□使用节能设备</w:t>
            </w:r>
            <w:r>
              <w:rPr>
                <w:rFonts w:hint="eastAsia"/>
                <w:lang w:eastAsia="zh-CN"/>
              </w:rPr>
              <w:t>☑</w:t>
            </w:r>
            <w:r>
              <w:rPr>
                <w:rFonts w:hint="eastAsia"/>
              </w:rPr>
              <w:t>危化品控制</w:t>
            </w:r>
          </w:p>
          <w:p>
            <w:pPr>
              <w:shd w:val="clear" w:color="auto" w:fill="EBF1DE" w:themeFill="accent3" w:themeFillTint="32"/>
              <w:rPr>
                <w:highlight w:val="cyan"/>
              </w:rPr>
            </w:pP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4"/>
              <w:gridCol w:w="209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09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shd w:val="clear" w:color="auto" w:fill="auto"/>
                </w:tcPr>
                <w:p>
                  <w:pPr>
                    <w:rPr>
                      <w:rFonts w:hint="eastAsia"/>
                      <w:lang w:val="en-US" w:eastAsia="zh-CN"/>
                    </w:rPr>
                  </w:pPr>
                  <w:r>
                    <w:rPr>
                      <w:rFonts w:hint="eastAsia"/>
                      <w:lang w:val="en-US" w:eastAsia="zh-CN"/>
                    </w:rPr>
                    <w:t>1、固体废弃物分类回收率100%；</w:t>
                  </w:r>
                </w:p>
                <w:p>
                  <w:pPr>
                    <w:rPr>
                      <w:rFonts w:hint="eastAsia"/>
                      <w:lang w:val="en-US" w:eastAsia="zh-CN"/>
                    </w:rPr>
                  </w:pPr>
                  <w:r>
                    <w:rPr>
                      <w:rFonts w:hint="eastAsia"/>
                      <w:lang w:val="en-US" w:eastAsia="zh-CN"/>
                    </w:rPr>
                    <w:t>2、杜绝火灾事故发生；</w:t>
                  </w:r>
                </w:p>
                <w:p>
                  <w:r>
                    <w:rPr>
                      <w:rFonts w:hint="eastAsia"/>
                      <w:lang w:val="en-US" w:eastAsia="zh-CN"/>
                    </w:rPr>
                    <w:t>3、节能降耗。</w:t>
                  </w:r>
                </w:p>
              </w:tc>
              <w:tc>
                <w:tcPr>
                  <w:tcW w:w="2093"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制定管理方案、应急预案等</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shd w:val="clear" w:color="auto" w:fill="auto"/>
                </w:tcPr>
                <w:p>
                  <w:pPr>
                    <w:shd w:val="clear" w:color="auto" w:fill="EBF1DE" w:themeFill="accent3" w:themeFillTint="32"/>
                  </w:pPr>
                </w:p>
              </w:tc>
              <w:tc>
                <w:tcPr>
                  <w:tcW w:w="209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shd w:val="clear" w:color="auto" w:fill="auto"/>
                </w:tcPr>
                <w:p>
                  <w:pPr>
                    <w:shd w:val="clear" w:color="auto" w:fill="EBF1DE" w:themeFill="accent3" w:themeFillTint="32"/>
                  </w:pPr>
                </w:p>
              </w:tc>
              <w:tc>
                <w:tcPr>
                  <w:tcW w:w="209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shd w:val="clear" w:color="auto" w:fill="auto"/>
                </w:tcPr>
                <w:p>
                  <w:pPr>
                    <w:shd w:val="clear" w:color="auto" w:fill="EBF1DE" w:themeFill="accent3" w:themeFillTint="32"/>
                  </w:pPr>
                </w:p>
              </w:tc>
              <w:tc>
                <w:tcPr>
                  <w:tcW w:w="209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shd w:val="clear" w:color="auto" w:fill="auto"/>
                </w:tcPr>
                <w:p>
                  <w:pPr>
                    <w:shd w:val="clear" w:color="auto" w:fill="EBF1DE" w:themeFill="accent3" w:themeFillTint="32"/>
                  </w:pPr>
                </w:p>
              </w:tc>
              <w:tc>
                <w:tcPr>
                  <w:tcW w:w="209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ascii="宋体" w:hAnsi="宋体" w:cs="宋体"/>
                <w:szCs w:val="21"/>
              </w:rPr>
              <w:t>20358</w:t>
            </w:r>
            <w:r>
              <w:rPr>
                <w:rFonts w:hint="eastAsia"/>
              </w:rPr>
              <w:t>平方米；生产车间个；库房个；实验室个；</w:t>
            </w:r>
          </w:p>
          <w:p>
            <w:pPr>
              <w:shd w:val="clear" w:color="auto" w:fill="EBF1DE" w:themeFill="accent3" w:themeFillTint="32"/>
              <w:rPr>
                <w:rFonts w:hint="eastAsia" w:ascii="宋体" w:hAnsi="宋体" w:cs="宋体"/>
                <w:szCs w:val="21"/>
              </w:rPr>
            </w:pPr>
            <w:r>
              <w:rPr>
                <w:rFonts w:hint="eastAsia"/>
              </w:rPr>
              <w:t>主要生产设备有：</w:t>
            </w:r>
            <w:r>
              <w:rPr>
                <w:rFonts w:hint="eastAsia" w:ascii="宋体" w:hAnsi="宋体" w:cs="宋体"/>
                <w:szCs w:val="21"/>
              </w:rPr>
              <w:t>配液罐、缓存罐、全自动罐装生产联动线、圆盘供瓶机</w:t>
            </w:r>
          </w:p>
          <w:p>
            <w:pPr>
              <w:shd w:val="clear" w:color="auto" w:fill="EBF1DE" w:themeFill="accent3" w:themeFillTint="32"/>
              <w:rPr>
                <w:u w:val="single"/>
              </w:rPr>
            </w:pPr>
            <w:r>
              <w:rPr>
                <w:rFonts w:hint="eastAsia"/>
              </w:rPr>
              <w:t>主要环保设备有：</w:t>
            </w:r>
            <w:r>
              <w:rPr>
                <w:rFonts w:hint="eastAsia" w:ascii="宋体" w:hAnsi="宋体" w:cs="宋体"/>
                <w:szCs w:val="21"/>
                <w:lang w:val="en-GB"/>
              </w:rPr>
              <w:t>废水处理设备、废气处理设备、消防灭火器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lang w:eastAsia="zh-CN"/>
              </w:rPr>
              <w:t>（</w:t>
            </w:r>
            <w:r>
              <w:rPr>
                <w:rFonts w:hint="eastAsia"/>
                <w:lang w:val="en-US" w:eastAsia="zh-CN"/>
              </w:rPr>
              <w:t>安全阀</w:t>
            </w:r>
            <w:r>
              <w:rPr>
                <w:rFonts w:hint="eastAsia"/>
                <w:lang w:eastAsia="zh-CN"/>
              </w:rPr>
              <w:t>）</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能源消耗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加强节水节电管理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加强节水节电管理</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控制生产过程排放</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废气排放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下料口收集，处理</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噪声排放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尽量选用低设备噪声</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合理收集，分类，妥善处理和处置</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布袋除尘</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加强管理及时发现隐患</w:t>
                  </w:r>
                </w:p>
              </w:tc>
              <w:tc>
                <w:tcPr>
                  <w:tcW w:w="3265" w:type="dxa"/>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2022年8月5日进行了突发环境事件应急演练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《环境监测报告》编号：润峰</w:t>
            </w:r>
            <w:r>
              <w:rPr>
                <w:rFonts w:hint="eastAsia"/>
                <w:lang w:val="en-US" w:eastAsia="zh-CN"/>
              </w:rPr>
              <w:t>检</w:t>
            </w:r>
            <w:r>
              <w:rPr>
                <w:rFonts w:hint="eastAsia"/>
              </w:rPr>
              <w:t>[2022]第3134号。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20-21</w:t>
            </w:r>
            <w:r>
              <w:rPr>
                <w:rFonts w:hint="eastAsia"/>
              </w:rPr>
              <w:t>日实施了环境管理体系内部审核，对环境管理体系的符合性和有效性进行了审核。内审发现的</w:t>
            </w:r>
            <w:r>
              <w:rPr>
                <w:rFonts w:hint="eastAsia"/>
                <w:lang w:val="en-US" w:eastAsia="zh-CN"/>
              </w:rPr>
              <w:t>3</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w:t>
            </w:r>
            <w:r>
              <w:rPr>
                <w:rFonts w:hint="eastAsia"/>
                <w:lang w:eastAsia="zh-CN"/>
              </w:rPr>
              <w:t>☑</w:t>
            </w:r>
            <w:r>
              <w:rPr>
                <w:rFonts w:hint="eastAsia"/>
              </w:rPr>
              <w:t>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lang w:val="en-US" w:eastAsia="zh-CN"/>
              </w:rPr>
              <w:t>以质量求生存。以</w:t>
            </w:r>
            <w:r>
              <w:rPr>
                <w:rFonts w:hint="eastAsia"/>
                <w:lang w:val="zh-CN" w:eastAsia="zh-CN"/>
              </w:rPr>
              <w:t>创新</w:t>
            </w:r>
            <w:r>
              <w:rPr>
                <w:rFonts w:hint="eastAsia"/>
                <w:lang w:val="en-US" w:eastAsia="zh-CN"/>
              </w:rPr>
              <w:t>谋发展</w:t>
            </w:r>
            <w:r>
              <w:rPr>
                <w:rFonts w:hint="eastAsia"/>
                <w:lang w:val="zh-CN" w:eastAsia="zh-CN"/>
              </w:rPr>
              <w:t>，</w:t>
            </w:r>
            <w:r>
              <w:rPr>
                <w:rFonts w:hint="eastAsia"/>
                <w:lang w:val="en-US" w:eastAsia="zh-CN"/>
              </w:rPr>
              <w:t>以健康筑未来。</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李海东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cs="宋体"/>
                      <w:sz w:val="20"/>
                      <w:lang w:val="en-US" w:eastAsia="zh-CN"/>
                    </w:rPr>
                    <w:t>易制爆、易制毒化学品管理</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加强五双管理，按照规范执行</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sz w:val="20"/>
                    </w:rPr>
                    <w:t>高处作业时工具坠落伤人</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加强管理按照规范执行</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cs="宋体"/>
                      <w:sz w:val="20"/>
                      <w:lang w:val="en-US" w:eastAsia="zh-CN"/>
                    </w:rPr>
                    <w:t>招录员工未经体检，不适宜施工作业的疾病未被及时发现</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加强管理按照要求进行体检</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宋体" w:hAnsi="宋体" w:eastAsia="宋体" w:cs="宋体"/>
                      <w:kern w:val="2"/>
                      <w:sz w:val="20"/>
                      <w:szCs w:val="24"/>
                      <w:lang w:val="en-US" w:eastAsia="zh-CN" w:bidi="ar-SA"/>
                    </w:rPr>
                  </w:pPr>
                  <w:r>
                    <w:rPr>
                      <w:rFonts w:hint="eastAsia" w:ascii="宋体" w:hAnsi="宋体" w:eastAsia="宋体" w:cs="宋体"/>
                      <w:sz w:val="20"/>
                    </w:rPr>
                    <w:t>无消防通道或消防通道阻塞</w:t>
                  </w:r>
                </w:p>
              </w:tc>
              <w:tc>
                <w:tcPr>
                  <w:tcW w:w="0" w:type="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加强巡检，发现阻塞及时清理</w:t>
                  </w:r>
                </w:p>
              </w:tc>
              <w:tc>
                <w:tcPr>
                  <w:tcW w:w="0" w:type="auto"/>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化学伤害□噪声□粉尘</w:t>
            </w:r>
            <w:r>
              <w:rPr>
                <w:rFonts w:hint="eastAsia"/>
                <w:lang w:eastAsia="zh-CN"/>
              </w:rPr>
              <w:t>☑</w:t>
            </w:r>
            <w:r>
              <w:rPr>
                <w:rFonts w:hint="eastAsia"/>
              </w:rPr>
              <w:t>危险作业□高低温</w:t>
            </w:r>
            <w:r>
              <w:rPr>
                <w:rFonts w:hint="eastAsia"/>
                <w:lang w:eastAsia="zh-CN"/>
              </w:rPr>
              <w:t>☑</w:t>
            </w:r>
            <w:r>
              <w:rPr>
                <w:rFonts w:hint="eastAsia"/>
              </w:rPr>
              <w:t>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w:t>
            </w:r>
            <w:r>
              <w:rPr>
                <w:rFonts w:hint="eastAsia"/>
                <w:lang w:eastAsia="zh-CN"/>
              </w:rPr>
              <w:t>☑</w:t>
            </w:r>
            <w:r>
              <w:rPr>
                <w:rFonts w:hint="eastAsia"/>
              </w:rPr>
              <w:t>挂牌上锁管理</w:t>
            </w:r>
          </w:p>
          <w:p>
            <w:pPr>
              <w:rPr>
                <w:highlight w:val="cyan"/>
              </w:rPr>
            </w:pPr>
            <w:r>
              <w:rPr>
                <w:rFonts w:hint="eastAsia"/>
                <w:lang w:eastAsia="zh-CN"/>
              </w:rPr>
              <w:t>☑</w:t>
            </w:r>
            <w:r>
              <w:rPr>
                <w:rFonts w:hint="eastAsia"/>
              </w:rPr>
              <w:t>危化品控制</w:t>
            </w: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杜绝火灾触电事故发生；杜绝职业病发生</w:t>
                  </w:r>
                </w:p>
              </w:tc>
              <w:tc>
                <w:tcPr>
                  <w:tcW w:w="3136" w:type="dxa"/>
                  <w:shd w:val="clear" w:color="auto" w:fill="auto"/>
                  <w:vAlign w:val="center"/>
                </w:tcPr>
                <w:p>
                  <w:pPr>
                    <w:rPr>
                      <w:rFonts w:hint="default" w:eastAsia="宋体"/>
                      <w:lang w:val="en-US" w:eastAsia="zh-CN"/>
                    </w:rPr>
                  </w:pPr>
                  <w:r>
                    <w:rPr>
                      <w:rFonts w:hint="eastAsia"/>
                      <w:lang w:val="en-US" w:eastAsia="zh-CN"/>
                    </w:rPr>
                    <w:t>制定管理方案、应急预案等</w:t>
                  </w:r>
                </w:p>
              </w:tc>
              <w:tc>
                <w:tcPr>
                  <w:tcW w:w="1350" w:type="dxa"/>
                  <w:shd w:val="clear" w:color="auto" w:fill="auto"/>
                  <w:vAlign w:val="center"/>
                </w:tcPr>
                <w:p>
                  <w:pPr>
                    <w:rPr>
                      <w:rFonts w:hint="eastAsia"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ascii="宋体" w:hAnsi="宋体" w:cs="宋体"/>
                <w:szCs w:val="21"/>
              </w:rPr>
              <w:t>20358</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2</w:t>
            </w:r>
            <w:r>
              <w:rPr>
                <w:rFonts w:hint="eastAsia"/>
              </w:rPr>
              <w:t>个；</w:t>
            </w:r>
          </w:p>
          <w:p>
            <w:pPr>
              <w:rPr>
                <w:u w:val="single"/>
              </w:rPr>
            </w:pPr>
            <w:r>
              <w:rPr>
                <w:rFonts w:hint="eastAsia"/>
              </w:rPr>
              <w:t>主要生产设备有：</w:t>
            </w:r>
            <w:r>
              <w:rPr>
                <w:rFonts w:hint="eastAsia" w:ascii="宋体" w:hAnsi="宋体" w:cs="宋体"/>
                <w:szCs w:val="21"/>
              </w:rPr>
              <w:t>配液罐、缓存罐、全自动罐装生产联动线</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lang w:eastAsia="zh-CN"/>
              </w:rPr>
              <w:t>（</w:t>
            </w:r>
            <w:r>
              <w:rPr>
                <w:rFonts w:hint="eastAsia"/>
                <w:lang w:val="en-US" w:eastAsia="zh-CN"/>
              </w:rPr>
              <w:t>安全阀</w:t>
            </w:r>
            <w:r>
              <w:rPr>
                <w:rFonts w:hint="eastAsia"/>
                <w:lang w:eastAsia="zh-CN"/>
              </w:rPr>
              <w:t>）</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除尘装置□穿戴劳保用品（防尘面罩）</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lang w:eastAsia="zh-CN"/>
                    </w:rPr>
                    <w:t>☑</w:t>
                  </w:r>
                  <w:r>
                    <w:rPr>
                      <w:rFonts w:hint="eastAsia"/>
                    </w:rPr>
                    <w:t>设置围堰</w:t>
                  </w:r>
                  <w:r>
                    <w:rPr>
                      <w:rFonts w:hint="eastAsia"/>
                      <w:lang w:eastAsia="zh-CN"/>
                    </w:rPr>
                    <w:t>☑</w:t>
                  </w:r>
                  <w:r>
                    <w:rPr>
                      <w:rFonts w:hint="eastAsia"/>
                    </w:rPr>
                    <w:t>排风系统</w:t>
                  </w:r>
                  <w:r>
                    <w:rPr>
                      <w:rFonts w:hint="eastAsia"/>
                      <w:lang w:eastAsia="zh-CN"/>
                    </w:rPr>
                    <w:t>☑</w:t>
                  </w:r>
                  <w:r>
                    <w:rPr>
                      <w:rFonts w:hint="eastAsia"/>
                    </w:rPr>
                    <w:t>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空间隔离□穿戴劳保用品</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定期检测□压力巡视</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制定应急预案，进行演练</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安全阀校准报告，报告编号：</w:t>
            </w:r>
            <w:r>
              <w:rPr>
                <w:rFonts w:hint="eastAsia"/>
                <w:u w:val="single"/>
              </w:rPr>
              <w:t>冀特AFJY112022035258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hint="eastAsia"/>
              </w:rPr>
            </w:pP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lang w:eastAsia="zh-CN"/>
              </w:rPr>
              <w:t>□</w:t>
            </w:r>
            <w:r>
              <w:rPr>
                <w:rFonts w:hint="eastAsia"/>
              </w:rPr>
              <w:t>主管部门抽查</w:t>
            </w:r>
            <w:r>
              <w:rPr>
                <w:rFonts w:hint="eastAsia"/>
                <w:lang w:eastAsia="zh-CN"/>
              </w:rPr>
              <w:t>□</w:t>
            </w:r>
            <w:r>
              <w:rPr>
                <w:rFonts w:hint="eastAsia"/>
              </w:rPr>
              <w:t>其他</w:t>
            </w:r>
          </w:p>
          <w:p>
            <w:r>
              <w:rPr>
                <w:rFonts w:hint="eastAsia"/>
              </w:rPr>
              <w:t>《作业场所有害物质监测报告》编号：。</w:t>
            </w:r>
          </w:p>
          <w:p>
            <w:r>
              <w:rPr>
                <w:rFonts w:hint="eastAsia"/>
              </w:rPr>
              <w:t>职业病体检：</w:t>
            </w:r>
            <w:r>
              <w:rPr>
                <w:rFonts w:hint="eastAsia"/>
                <w:lang w:eastAsia="zh-CN"/>
              </w:rPr>
              <w:t>□</w:t>
            </w:r>
            <w:r>
              <w:rPr>
                <w:rFonts w:hint="eastAsia"/>
              </w:rPr>
              <w:t>入职</w:t>
            </w:r>
            <w:r>
              <w:rPr>
                <w:rFonts w:hint="eastAsia"/>
                <w:lang w:eastAsia="zh-CN"/>
              </w:rPr>
              <w:t>□</w:t>
            </w:r>
            <w:r>
              <w:rPr>
                <w:rFonts w:hint="eastAsia"/>
              </w:rPr>
              <w:t>离职</w:t>
            </w:r>
            <w:r>
              <w:rPr>
                <w:rFonts w:hint="eastAsia"/>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20-21</w:t>
            </w:r>
            <w:r>
              <w:rPr>
                <w:rFonts w:hint="eastAsia"/>
              </w:rPr>
              <w:t>日实施了职业健康安全管理体系内部审核，对职业健康安全管理体系的符合性和有效性进行了审核。内审发现的</w:t>
            </w:r>
            <w:r>
              <w:rPr>
                <w:rFonts w:hint="eastAsia"/>
                <w:lang w:val="en-US" w:eastAsia="zh-CN"/>
              </w:rPr>
              <w:t>3</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2E9F1180"/>
    <w:rsid w:val="34072C0B"/>
    <w:rsid w:val="3D431692"/>
    <w:rsid w:val="3F1955BD"/>
    <w:rsid w:val="6B8362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书正文"/>
    <w:basedOn w:val="1"/>
    <w:qFormat/>
    <w:uiPriority w:val="0"/>
    <w:pPr>
      <w:spacing w:line="500" w:lineRule="exact"/>
      <w:ind w:firstLine="640"/>
    </w:pPr>
    <w:rPr>
      <w:rFonts w:ascii="Times New Roman" w:hAnsi="Times New Roman" w:cs="Times New Roman"/>
      <w:sz w:val="21"/>
      <w:szCs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8</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2023-02-18T03:32:45Z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