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lang w:eastAsia="zh-CN"/>
        </w:rPr>
        <w:drawing>
          <wp:inline distT="0" distB="0" distL="114300" distR="114300">
            <wp:extent cx="6391275" cy="9364345"/>
            <wp:effectExtent l="0" t="0" r="9525" b="8255"/>
            <wp:docPr id="1" name="图片 1" descr="6cf41267fa13547ffdb739f14603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cf41267fa13547ffdb739f14603927"/>
                    <pic:cNvPicPr>
                      <a:picLocks noChangeAspect="1"/>
                    </pic:cNvPicPr>
                  </pic:nvPicPr>
                  <pic:blipFill>
                    <a:blip r:embed="rId6"/>
                    <a:stretch>
                      <a:fillRect/>
                    </a:stretch>
                  </pic:blipFill>
                  <pic:spPr>
                    <a:xfrm>
                      <a:off x="0" y="0"/>
                      <a:ext cx="6391275" cy="9364345"/>
                    </a:xfrm>
                    <a:prstGeom prst="rect">
                      <a:avLst/>
                    </a:prstGeom>
                  </pic:spPr>
                </pic:pic>
              </a:graphicData>
            </a:graphic>
          </wp:inline>
        </w:drawing>
      </w:r>
    </w:p>
    <w:p>
      <w:pPr>
        <w:jc w:val="center"/>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eastAsia="zh-CN"/>
        </w:rPr>
        <w:drawing>
          <wp:inline distT="0" distB="0" distL="114300" distR="114300">
            <wp:extent cx="6386195" cy="9218930"/>
            <wp:effectExtent l="0" t="0" r="1905" b="1270"/>
            <wp:docPr id="4" name="图片 4" descr="a04dd02ee3cce61a3ae3f3ffa6e3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4dd02ee3cce61a3ae3f3ffa6e3a9f"/>
                    <pic:cNvPicPr>
                      <a:picLocks noChangeAspect="1"/>
                    </pic:cNvPicPr>
                  </pic:nvPicPr>
                  <pic:blipFill>
                    <a:blip r:embed="rId7"/>
                    <a:stretch>
                      <a:fillRect/>
                    </a:stretch>
                  </pic:blipFill>
                  <pic:spPr>
                    <a:xfrm>
                      <a:off x="0" y="0"/>
                      <a:ext cx="6386195" cy="9218930"/>
                    </a:xfrm>
                    <a:prstGeom prst="rect">
                      <a:avLst/>
                    </a:prstGeom>
                  </pic:spPr>
                </pic:pic>
              </a:graphicData>
            </a:graphic>
          </wp:inline>
        </w:drawing>
      </w:r>
    </w:p>
    <w:p>
      <w:pPr>
        <w:jc w:val="both"/>
        <w:rPr>
          <w:rFonts w:hint="eastAsia" w:asciiTheme="majorEastAsia" w:hAnsiTheme="majorEastAsia" w:eastAsiaTheme="majorEastAsia" w:cstheme="majorEastAsia"/>
          <w:sz w:val="30"/>
          <w:szCs w:val="30"/>
          <w:lang w:eastAsia="zh-CN"/>
        </w:rPr>
      </w:pPr>
      <w:bookmarkStart w:id="20" w:name="_GoBack"/>
      <w:bookmarkEnd w:id="20"/>
      <w:r>
        <w:rPr>
          <w:rFonts w:hint="eastAsia" w:asciiTheme="majorEastAsia" w:hAnsiTheme="majorEastAsia" w:eastAsiaTheme="majorEastAsia" w:cstheme="majorEastAsia"/>
          <w:sz w:val="30"/>
          <w:szCs w:val="30"/>
          <w:lang w:eastAsia="zh-CN"/>
        </w:rPr>
        <w:drawing>
          <wp:inline distT="0" distB="0" distL="114300" distR="114300">
            <wp:extent cx="6384925" cy="9107805"/>
            <wp:effectExtent l="0" t="0" r="3175" b="10795"/>
            <wp:docPr id="2" name="图片 2" descr="67abce8b434c23c8fec0bd07e1895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7abce8b434c23c8fec0bd07e1895fb"/>
                    <pic:cNvPicPr>
                      <a:picLocks noChangeAspect="1"/>
                    </pic:cNvPicPr>
                  </pic:nvPicPr>
                  <pic:blipFill>
                    <a:blip r:embed="rId8"/>
                    <a:stretch>
                      <a:fillRect/>
                    </a:stretch>
                  </pic:blipFill>
                  <pic:spPr>
                    <a:xfrm>
                      <a:off x="0" y="0"/>
                      <a:ext cx="6384925" cy="9107805"/>
                    </a:xfrm>
                    <a:prstGeom prst="rect">
                      <a:avLst/>
                    </a:prstGeom>
                  </pic:spPr>
                </pic:pic>
              </a:graphicData>
            </a:graphic>
          </wp:inline>
        </w:drawing>
      </w: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eastAsia="zh-CN"/>
        </w:rPr>
        <w:drawing>
          <wp:inline distT="0" distB="0" distL="114300" distR="114300">
            <wp:extent cx="6386830" cy="8983980"/>
            <wp:effectExtent l="0" t="0" r="1270" b="7620"/>
            <wp:docPr id="3" name="图片 3" descr="96522d3550d11e45508c59a63022f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6522d3550d11e45508c59a63022fd2"/>
                    <pic:cNvPicPr>
                      <a:picLocks noChangeAspect="1"/>
                    </pic:cNvPicPr>
                  </pic:nvPicPr>
                  <pic:blipFill>
                    <a:blip r:embed="rId9"/>
                    <a:stretch>
                      <a:fillRect/>
                    </a:stretch>
                  </pic:blipFill>
                  <pic:spPr>
                    <a:xfrm>
                      <a:off x="0" y="0"/>
                      <a:ext cx="6386830" cy="8983980"/>
                    </a:xfrm>
                    <a:prstGeom prst="rect">
                      <a:avLst/>
                    </a:prstGeom>
                  </pic:spPr>
                </pic:pic>
              </a:graphicData>
            </a:graphic>
          </wp:inline>
        </w:drawing>
      </w:r>
    </w:p>
    <w:p>
      <w:pPr>
        <w:jc w:val="center"/>
        <w:rPr>
          <w:rFonts w:hint="eastAsia" w:asciiTheme="majorEastAsia" w:hAnsiTheme="majorEastAsia" w:eastAsiaTheme="majorEastAsia" w:cstheme="majorEastAsia"/>
          <w:sz w:val="30"/>
          <w:szCs w:val="30"/>
        </w:rPr>
      </w:pPr>
    </w:p>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河北弘矿电气设备有限公司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屈永航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 xml:space="preserve"> 综合办公室</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lang w:val="en-US" w:eastAsia="zh-CN"/>
              </w:rPr>
              <w:t>未能提供对产品运输外包方保定市泽丰运输有限公司进行评价的记录，也不能提供对其评价的相关证据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w:t>
            </w:r>
            <w:bookmarkStart w:id="19" w:name="审核组成员不含组长"/>
            <w:bookmarkEnd w:id="19"/>
            <w:r>
              <w:rPr>
                <w:rFonts w:hint="eastAsia" w:ascii="方正仿宋简体" w:eastAsia="方正仿宋简体"/>
                <w:b/>
                <w:sz w:val="24"/>
              </w:rPr>
              <w:t xml:space="preserve">                     审核组长：</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 xml:space="preserve"> 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43AB65BB"/>
    <w:rsid w:val="569450B3"/>
    <w:rsid w:val="73326F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33</TotalTime>
  <ScaleCrop>false</ScaleCrop>
  <LinksUpToDate>false</LinksUpToDate>
  <CharactersWithSpaces>895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企业咨询17334292415</cp:lastModifiedBy>
  <cp:lastPrinted>2019-05-13T03:02:00Z</cp:lastPrinted>
  <dcterms:modified xsi:type="dcterms:W3CDTF">2023-01-11T08:27:29Z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