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1355-2022-Q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河北省信息产业与信息化协会</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pPr>
        <w:pStyle w:val="13"/>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河北省信息产业与信息化协会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河北省石家庄市新华区和平西路402号</w:t>
            </w:r>
            <w:bookmarkEnd w:id="6"/>
          </w:p>
        </w:tc>
        <w:tc>
          <w:tcPr>
            <w:tcW w:w="1242" w:type="dxa"/>
            <w:vMerge w:val="restart"/>
            <w:vAlign w:val="center"/>
          </w:tcPr>
          <w:p>
            <w:r>
              <w:rPr>
                <w:rFonts w:hint="eastAsia"/>
              </w:rPr>
              <w:t>邮编</w:t>
            </w:r>
          </w:p>
        </w:tc>
        <w:tc>
          <w:tcPr>
            <w:tcW w:w="1771" w:type="dxa"/>
          </w:tcPr>
          <w:p>
            <w:bookmarkStart w:id="7" w:name="注册邮编"/>
            <w:r>
              <w:t>050071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河北省石家庄市新华区和平西路402号</w:t>
            </w:r>
            <w:bookmarkEnd w:id="8"/>
          </w:p>
        </w:tc>
        <w:tc>
          <w:tcPr>
            <w:tcW w:w="1242" w:type="dxa"/>
            <w:vMerge w:val="continue"/>
            <w:vAlign w:val="center"/>
          </w:tcPr>
          <w:p/>
        </w:tc>
        <w:tc>
          <w:tcPr>
            <w:tcW w:w="1771" w:type="dxa"/>
          </w:tcPr>
          <w:p>
            <w:bookmarkStart w:id="9" w:name="办公邮编"/>
            <w:r>
              <w:t>050071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曹延英</w:t>
            </w:r>
            <w:bookmarkEnd w:id="10"/>
          </w:p>
        </w:tc>
        <w:tc>
          <w:tcPr>
            <w:tcW w:w="1313" w:type="dxa"/>
            <w:vAlign w:val="center"/>
          </w:tcPr>
          <w:p>
            <w:r>
              <w:rPr>
                <w:rFonts w:hint="eastAsia"/>
              </w:rPr>
              <w:t>电话.</w:t>
            </w:r>
          </w:p>
        </w:tc>
        <w:tc>
          <w:tcPr>
            <w:tcW w:w="2180" w:type="dxa"/>
            <w:vAlign w:val="center"/>
          </w:tcPr>
          <w:p>
            <w:bookmarkStart w:id="11" w:name="联系人电话"/>
            <w:r>
              <w:t>13503337118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刘献社</w:t>
            </w:r>
            <w:bookmarkEnd w:id="13"/>
          </w:p>
        </w:tc>
        <w:tc>
          <w:tcPr>
            <w:tcW w:w="1313" w:type="dxa"/>
            <w:vAlign w:val="center"/>
          </w:tcPr>
          <w:p>
            <w:r>
              <w:rPr>
                <w:rFonts w:hint="eastAsia"/>
              </w:rPr>
              <w:t>管理者代表</w:t>
            </w:r>
          </w:p>
        </w:tc>
        <w:tc>
          <w:tcPr>
            <w:tcW w:w="2180" w:type="dxa"/>
          </w:tcPr>
          <w:p>
            <w:r>
              <w:t>刘献社</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default"/>
                <w:color w:val="000000"/>
                <w:szCs w:val="18"/>
                <w:lang w:val="en-US" w:eastAsia="zh-CN"/>
              </w:rPr>
            </w:pPr>
            <w:r>
              <w:rPr>
                <w:rFonts w:hint="eastAsia"/>
                <w:color w:val="000000"/>
                <w:szCs w:val="18"/>
                <w:lang w:val="en-US" w:eastAsia="zh-CN"/>
              </w:rPr>
              <w:t>信息服务：线上（网站/公众号）或线下（组织会议/现场调研）——政策宣传、解读——（如需要）帮扶落实</w:t>
            </w:r>
          </w:p>
          <w:p>
            <w:r>
              <w:rPr>
                <w:rFonts w:hint="eastAsia"/>
                <w:color w:val="000000"/>
                <w:szCs w:val="18"/>
                <w:lang w:val="en-US" w:eastAsia="zh-CN"/>
              </w:rPr>
              <w:t>咨询诊断：企业申请/业务洽谈——需求分析——组织专家诊断——服务方案——出具报告</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2023年01月09日 上午至2023年01月09日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6"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sz w:val="21"/>
                <w:szCs w:val="21"/>
              </w:rPr>
              <w:t>河北省石家庄市新华区和平西路402号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spacing w:line="300" w:lineRule="exact"/>
            </w:pPr>
            <w:r>
              <w:rPr>
                <w:rFonts w:hint="default" w:ascii="Times New Roman" w:hAnsi="Times New Roman" w:cs="Times New Roman"/>
                <w:sz w:val="21"/>
                <w:szCs w:val="21"/>
              </w:rPr>
              <w:t>信息服务</w:t>
            </w:r>
            <w:r>
              <w:rPr>
                <w:rFonts w:hint="default" w:ascii="Times New Roman" w:hAnsi="Times New Roman" w:cs="Times New Roman"/>
                <w:sz w:val="21"/>
                <w:szCs w:val="21"/>
                <w:lang w:val="en-US" w:eastAsia="zh-CN"/>
              </w:rPr>
              <w:t>及</w:t>
            </w:r>
            <w:r>
              <w:rPr>
                <w:rFonts w:hint="default" w:ascii="Times New Roman" w:hAnsi="Times New Roman" w:cs="Times New Roman"/>
                <w:sz w:val="21"/>
                <w:szCs w:val="21"/>
              </w:rPr>
              <w:t>咨询诊断</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34.06.00;35.04.02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98"/>
        <w:gridCol w:w="2137"/>
        <w:gridCol w:w="645"/>
        <w:gridCol w:w="2200"/>
        <w:gridCol w:w="17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79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13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4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00"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9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98" w:type="dxa"/>
          </w:tcPr>
          <w:p>
            <w:pPr>
              <w:spacing w:before="40" w:after="40"/>
              <w:rPr>
                <w:rFonts w:eastAsia="黑体"/>
                <w:szCs w:val="21"/>
                <w:lang w:val="de-DE" w:eastAsia="ja-JP"/>
              </w:rPr>
            </w:pPr>
            <w:r>
              <w:rPr>
                <w:sz w:val="21"/>
                <w:szCs w:val="21"/>
              </w:rPr>
              <w:t>河北省石家庄市新华区和平西路402号</w:t>
            </w:r>
          </w:p>
        </w:tc>
        <w:tc>
          <w:tcPr>
            <w:tcW w:w="2137" w:type="dxa"/>
          </w:tcPr>
          <w:p>
            <w:pPr>
              <w:spacing w:before="40" w:after="40"/>
              <w:rPr>
                <w:rFonts w:eastAsia="黑体"/>
                <w:szCs w:val="21"/>
                <w:lang w:val="de-DE" w:eastAsia="ja-JP"/>
              </w:rPr>
            </w:pPr>
            <w:r>
              <w:rPr>
                <w:sz w:val="21"/>
                <w:szCs w:val="21"/>
              </w:rPr>
              <w:t>河北省石家庄市新华区和平西路402号</w:t>
            </w:r>
          </w:p>
        </w:tc>
        <w:tc>
          <w:tcPr>
            <w:tcW w:w="645"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2200" w:type="dxa"/>
            <w:vAlign w:val="center"/>
          </w:tcPr>
          <w:p>
            <w:pPr>
              <w:pStyle w:val="22"/>
              <w:rPr>
                <w:rFonts w:eastAsia="黑体" w:cs="Arial"/>
                <w:sz w:val="21"/>
                <w:szCs w:val="21"/>
                <w:lang w:val="en-US" w:eastAsia="ja-JP"/>
              </w:rPr>
            </w:pPr>
            <w:r>
              <w:rPr>
                <w:sz w:val="21"/>
                <w:szCs w:val="21"/>
              </w:rPr>
              <w:t>信息服务</w:t>
            </w:r>
            <w:r>
              <w:rPr>
                <w:rFonts w:hint="eastAsia"/>
                <w:sz w:val="21"/>
                <w:szCs w:val="21"/>
                <w:lang w:val="en-US" w:eastAsia="zh-CN"/>
              </w:rPr>
              <w:t>及</w:t>
            </w:r>
            <w:r>
              <w:rPr>
                <w:sz w:val="21"/>
                <w:szCs w:val="21"/>
              </w:rPr>
              <w:t>咨询诊断</w:t>
            </w:r>
          </w:p>
        </w:tc>
        <w:tc>
          <w:tcPr>
            <w:tcW w:w="1797"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48"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2022-N1QMS-4022240</w:t>
            </w:r>
          </w:p>
        </w:tc>
        <w:tc>
          <w:tcPr>
            <w:tcW w:w="2179" w:type="dxa"/>
            <w:vAlign w:val="center"/>
          </w:tcPr>
          <w:p>
            <w:r>
              <w:t>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spacing w:line="300" w:lineRule="exact"/>
              <w:rPr>
                <w:rFonts w:hint="eastAsia" w:eastAsia="宋体"/>
                <w:lang w:val="en-US" w:eastAsia="zh-CN"/>
              </w:rPr>
            </w:pPr>
            <w:r>
              <w:rPr>
                <w:rFonts w:hint="eastAsia"/>
                <w:lang w:val="en-US" w:eastAsia="zh-CN"/>
              </w:rPr>
              <w:t>一阶段变更范围为“</w:t>
            </w:r>
            <w:r>
              <w:rPr>
                <w:rFonts w:hint="default" w:ascii="Times New Roman" w:hAnsi="Times New Roman" w:cs="Times New Roman"/>
                <w:sz w:val="21"/>
                <w:szCs w:val="21"/>
              </w:rPr>
              <w:t>信息服务</w:t>
            </w:r>
            <w:r>
              <w:rPr>
                <w:rFonts w:hint="default" w:ascii="Times New Roman" w:hAnsi="Times New Roman" w:cs="Times New Roman"/>
                <w:sz w:val="21"/>
                <w:szCs w:val="21"/>
                <w:lang w:val="en-US" w:eastAsia="zh-CN"/>
              </w:rPr>
              <w:t>及</w:t>
            </w:r>
            <w:r>
              <w:rPr>
                <w:rFonts w:hint="default" w:ascii="Times New Roman" w:hAnsi="Times New Roman" w:cs="Times New Roman"/>
                <w:sz w:val="21"/>
                <w:szCs w:val="21"/>
              </w:rPr>
              <w:t>咨询诊断</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spacing w:line="300" w:lineRule="exact"/>
            </w:pPr>
            <w:r>
              <w:rPr>
                <w:rFonts w:hint="default" w:ascii="Times New Roman" w:hAnsi="Times New Roman" w:cs="Times New Roman"/>
                <w:sz w:val="21"/>
                <w:szCs w:val="21"/>
              </w:rPr>
              <w:t>信息服务</w:t>
            </w:r>
            <w:r>
              <w:rPr>
                <w:rFonts w:hint="default" w:ascii="Times New Roman" w:hAnsi="Times New Roman" w:cs="Times New Roman"/>
                <w:sz w:val="21"/>
                <w:szCs w:val="21"/>
                <w:lang w:val="en-US" w:eastAsia="zh-CN"/>
              </w:rPr>
              <w:t>及</w:t>
            </w:r>
            <w:r>
              <w:rPr>
                <w:rFonts w:hint="default" w:ascii="Times New Roman" w:hAnsi="Times New Roman" w:cs="Times New Roman"/>
                <w:sz w:val="21"/>
                <w:szCs w:val="21"/>
              </w:rPr>
              <w:t>咨询诊断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2023年1月9日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rPr>
              <w:t>科技领先，优质高效，客户至上，遵信守约</w:t>
            </w:r>
            <w:r>
              <w:rPr>
                <w:rFonts w:hint="eastAsia"/>
                <w:lang w:eastAsia="zh-CN"/>
              </w:rPr>
              <w:t>，</w:t>
            </w:r>
            <w:r>
              <w:rPr>
                <w:rFonts w:hint="eastAsia"/>
                <w:lang w:val="en-US" w:eastAsia="zh-CN"/>
              </w:rPr>
              <w:t>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default" w:ascii="Times New Roman" w:hAnsi="Times New Roman" w:eastAsia="宋体" w:cs="Times New Roman"/>
                      <w:sz w:val="21"/>
                      <w:szCs w:val="21"/>
                      <w:lang w:val="en-US" w:eastAsia="zh-CN"/>
                    </w:rPr>
                    <w:t>体系运行监控不到位导致体系出现偏差和差错</w:t>
                  </w:r>
                </w:p>
              </w:tc>
              <w:tc>
                <w:tcPr>
                  <w:tcW w:w="3965" w:type="dxa"/>
                </w:tcPr>
                <w:p>
                  <w:pPr>
                    <w:shd w:val="clear" w:color="auto" w:fill="C7DAF1" w:themeFill="text2" w:themeFillTint="32"/>
                  </w:pPr>
                  <w:r>
                    <w:rPr>
                      <w:rFonts w:hint="default" w:ascii="Times New Roman" w:hAnsi="Times New Roman" w:eastAsia="宋体" w:cs="Times New Roman"/>
                      <w:sz w:val="21"/>
                      <w:szCs w:val="21"/>
                      <w:lang w:val="en-US" w:eastAsia="zh-CN"/>
                    </w:rPr>
                    <w:t>领导层定期进行探讨体系运行结果，加强各部门反馈，发现问题及时更正</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240" w:lineRule="auto"/>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spacing w:line="240" w:lineRule="auto"/>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spacing w:line="240" w:lineRule="auto"/>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spacing w:line="240" w:lineRule="auto"/>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rPr>
                      <w:rFonts w:hint="eastAsia" w:ascii="Times New Roman" w:hAnsi="Times New Roman" w:eastAsia="宋体" w:cs="Times New Roman"/>
                      <w:kern w:val="2"/>
                      <w:sz w:val="21"/>
                      <w:szCs w:val="21"/>
                      <w:lang w:val="en-US" w:eastAsia="zh-CN" w:bidi="ar-SA"/>
                    </w:rPr>
                  </w:pPr>
                  <w:r>
                    <w:rPr>
                      <w:rFonts w:hint="eastAsia" w:ascii="宋体" w:hAnsi="宋体"/>
                      <w:bCs/>
                      <w:sz w:val="21"/>
                      <w:szCs w:val="21"/>
                    </w:rPr>
                    <w:t>1、</w:t>
                  </w:r>
                  <w:r>
                    <w:rPr>
                      <w:rFonts w:hint="eastAsia" w:ascii="宋体" w:hAnsi="宋体"/>
                      <w:spacing w:val="20"/>
                      <w:sz w:val="21"/>
                      <w:szCs w:val="21"/>
                    </w:rPr>
                    <w:t>服务一次交验合格率≥95%</w:t>
                  </w:r>
                  <w:r>
                    <w:rPr>
                      <w:rFonts w:hint="eastAsia" w:ascii="宋体" w:hAnsi="宋体"/>
                      <w:bCs/>
                      <w:sz w:val="21"/>
                      <w:szCs w:val="21"/>
                    </w:rPr>
                    <w:t>；</w:t>
                  </w:r>
                </w:p>
              </w:tc>
              <w:tc>
                <w:tcPr>
                  <w:tcW w:w="3136" w:type="dxa"/>
                  <w:shd w:val="clear" w:color="auto" w:fill="auto"/>
                  <w:vAlign w:val="center"/>
                </w:tcPr>
                <w:p>
                  <w:pPr>
                    <w:spacing w:line="240" w:lineRule="auto"/>
                    <w:rPr>
                      <w:rFonts w:hint="eastAsia" w:ascii="宋体" w:hAnsi="宋体" w:eastAsia="宋体" w:cs="Times New Roman"/>
                      <w:spacing w:val="20"/>
                      <w:kern w:val="2"/>
                      <w:sz w:val="21"/>
                      <w:szCs w:val="21"/>
                      <w:lang w:val="en-GB" w:eastAsia="zh-CN" w:bidi="ar-SA"/>
                    </w:rPr>
                  </w:pPr>
                  <w:r>
                    <w:rPr>
                      <w:rFonts w:hint="eastAsia" w:ascii="宋体" w:hAnsi="宋体"/>
                      <w:spacing w:val="20"/>
                      <w:sz w:val="21"/>
                      <w:szCs w:val="21"/>
                    </w:rPr>
                    <w:t>（一次检验合格产品数/交验产品总数）*100%</w:t>
                  </w:r>
                </w:p>
              </w:tc>
              <w:tc>
                <w:tcPr>
                  <w:tcW w:w="1350" w:type="dxa"/>
                  <w:shd w:val="clear" w:color="auto" w:fill="auto"/>
                  <w:vAlign w:val="center"/>
                </w:tcPr>
                <w:p>
                  <w:pPr>
                    <w:shd w:val="clear" w:color="auto" w:fill="C7DAF1" w:themeFill="text2" w:themeFillTint="32"/>
                    <w:spacing w:line="240" w:lineRule="auto"/>
                    <w:rPr>
                      <w:rFonts w:hint="default" w:eastAsia="宋体"/>
                      <w:lang w:val="en-US" w:eastAsia="zh-CN"/>
                    </w:rPr>
                  </w:pPr>
                  <w:r>
                    <w:rPr>
                      <w:rFonts w:hint="eastAsia"/>
                      <w:lang w:val="en-US" w:eastAsia="zh-CN"/>
                    </w:rPr>
                    <w:t>信息化部</w:t>
                  </w:r>
                </w:p>
              </w:tc>
              <w:tc>
                <w:tcPr>
                  <w:tcW w:w="1774" w:type="dxa"/>
                  <w:shd w:val="clear" w:color="auto" w:fill="auto"/>
                  <w:vAlign w:val="center"/>
                </w:tcPr>
                <w:p>
                  <w:pPr>
                    <w:spacing w:line="240" w:lineRule="auto"/>
                    <w:jc w:val="center"/>
                    <w:rPr>
                      <w:rFonts w:hint="eastAsia" w:ascii="Times New Roman" w:hAnsi="Times New Roman" w:eastAsia="宋体" w:cs="Times New Roman"/>
                      <w:kern w:val="2"/>
                      <w:sz w:val="21"/>
                      <w:szCs w:val="21"/>
                      <w:lang w:val="en-GB" w:eastAsia="zh-CN" w:bidi="ar-SA"/>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rPr>
                      <w:rFonts w:hint="eastAsia" w:ascii="Times New Roman" w:hAnsi="Times New Roman" w:eastAsia="宋体" w:cs="Times New Roman"/>
                      <w:kern w:val="2"/>
                      <w:sz w:val="21"/>
                      <w:szCs w:val="21"/>
                      <w:lang w:val="en-US" w:eastAsia="zh-CN" w:bidi="ar-SA"/>
                    </w:rPr>
                  </w:pPr>
                  <w:r>
                    <w:rPr>
                      <w:rFonts w:hint="eastAsia"/>
                      <w:sz w:val="21"/>
                      <w:szCs w:val="21"/>
                    </w:rPr>
                    <w:t>2、顾客满意率≥95%</w:t>
                  </w:r>
                </w:p>
              </w:tc>
              <w:tc>
                <w:tcPr>
                  <w:tcW w:w="3136" w:type="dxa"/>
                  <w:shd w:val="clear" w:color="auto" w:fill="auto"/>
                  <w:vAlign w:val="center"/>
                </w:tcPr>
                <w:p>
                  <w:pPr>
                    <w:spacing w:line="240" w:lineRule="auto"/>
                    <w:rPr>
                      <w:rFonts w:ascii="宋体" w:hAnsi="宋体" w:eastAsia="宋体" w:cs="Times New Roman"/>
                      <w:spacing w:val="20"/>
                      <w:kern w:val="2"/>
                      <w:sz w:val="21"/>
                      <w:szCs w:val="21"/>
                      <w:lang w:val="en-US" w:eastAsia="zh-CN" w:bidi="ar-SA"/>
                    </w:rPr>
                  </w:pPr>
                  <w:r>
                    <w:rPr>
                      <w:rFonts w:hint="eastAsia" w:ascii="宋体" w:hAnsi="宋体"/>
                      <w:spacing w:val="20"/>
                      <w:sz w:val="21"/>
                      <w:szCs w:val="21"/>
                    </w:rPr>
                    <w:t>（满意度实际得分÷应得总分）*100%</w:t>
                  </w:r>
                </w:p>
              </w:tc>
              <w:tc>
                <w:tcPr>
                  <w:tcW w:w="1350" w:type="dxa"/>
                  <w:shd w:val="clear" w:color="auto" w:fill="auto"/>
                  <w:vAlign w:val="center"/>
                </w:tcPr>
                <w:p>
                  <w:pPr>
                    <w:shd w:val="clear" w:color="auto" w:fill="C7DAF1" w:themeFill="text2" w:themeFillTint="32"/>
                    <w:spacing w:line="240" w:lineRule="auto"/>
                    <w:rPr>
                      <w:rFonts w:hint="eastAsia" w:ascii="宋体" w:hAnsi="宋体" w:eastAsia="宋体"/>
                      <w:lang w:val="en-US" w:eastAsia="zh-CN"/>
                    </w:rPr>
                  </w:pPr>
                  <w:r>
                    <w:rPr>
                      <w:rFonts w:hint="eastAsia" w:ascii="宋体" w:hAnsi="宋体"/>
                      <w:lang w:val="en-US" w:eastAsia="zh-CN"/>
                    </w:rPr>
                    <w:t>交流合作部</w:t>
                  </w:r>
                </w:p>
              </w:tc>
              <w:tc>
                <w:tcPr>
                  <w:tcW w:w="1774" w:type="dxa"/>
                  <w:shd w:val="clear" w:color="auto" w:fill="auto"/>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3、</w:t>
                  </w:r>
                  <w:r>
                    <w:rPr>
                      <w:rFonts w:hint="eastAsia"/>
                      <w:sz w:val="21"/>
                      <w:szCs w:val="21"/>
                    </w:rPr>
                    <w:t>诊断差错率≤1%</w:t>
                  </w:r>
                </w:p>
              </w:tc>
              <w:tc>
                <w:tcPr>
                  <w:tcW w:w="3136" w:type="dxa"/>
                  <w:shd w:val="clear" w:color="auto" w:fill="auto"/>
                  <w:vAlign w:val="center"/>
                </w:tcPr>
                <w:p>
                  <w:pPr>
                    <w:spacing w:line="240" w:lineRule="auto"/>
                    <w:rPr>
                      <w:rFonts w:hint="eastAsia" w:ascii="宋体" w:hAnsi="宋体" w:eastAsia="宋体" w:cs="Times New Roman"/>
                      <w:spacing w:val="20"/>
                      <w:kern w:val="2"/>
                      <w:sz w:val="21"/>
                      <w:szCs w:val="21"/>
                      <w:lang w:val="en-US" w:eastAsia="zh-CN" w:bidi="ar-SA"/>
                    </w:rPr>
                  </w:pPr>
                  <w:r>
                    <w:rPr>
                      <w:rFonts w:hint="eastAsia" w:ascii="宋体" w:hAnsi="宋体"/>
                      <w:spacing w:val="20"/>
                      <w:sz w:val="21"/>
                      <w:szCs w:val="21"/>
                    </w:rPr>
                    <w:t>（</w:t>
                  </w:r>
                  <w:r>
                    <w:rPr>
                      <w:rFonts w:hint="eastAsia" w:ascii="宋体" w:hAnsi="宋体"/>
                      <w:spacing w:val="20"/>
                      <w:sz w:val="21"/>
                      <w:szCs w:val="21"/>
                      <w:lang w:val="en-US" w:eastAsia="zh-CN"/>
                    </w:rPr>
                    <w:t>诊断错误</w:t>
                  </w:r>
                  <w:r>
                    <w:rPr>
                      <w:rFonts w:hint="eastAsia" w:ascii="宋体" w:hAnsi="宋体"/>
                      <w:spacing w:val="20"/>
                      <w:sz w:val="21"/>
                      <w:szCs w:val="21"/>
                    </w:rPr>
                    <w:t>数/</w:t>
                  </w:r>
                  <w:r>
                    <w:rPr>
                      <w:rFonts w:hint="eastAsia" w:ascii="宋体" w:hAnsi="宋体"/>
                      <w:spacing w:val="20"/>
                      <w:sz w:val="21"/>
                      <w:szCs w:val="21"/>
                      <w:lang w:val="en-US" w:eastAsia="zh-CN"/>
                    </w:rPr>
                    <w:t>诊断项目</w:t>
                  </w:r>
                  <w:r>
                    <w:rPr>
                      <w:rFonts w:hint="eastAsia" w:ascii="宋体" w:hAnsi="宋体"/>
                      <w:spacing w:val="20"/>
                      <w:sz w:val="21"/>
                      <w:szCs w:val="21"/>
                    </w:rPr>
                    <w:t>总数）*100%</w:t>
                  </w:r>
                </w:p>
              </w:tc>
              <w:tc>
                <w:tcPr>
                  <w:tcW w:w="1350" w:type="dxa"/>
                  <w:shd w:val="clear" w:color="auto" w:fill="auto"/>
                  <w:vAlign w:val="center"/>
                </w:tcPr>
                <w:p>
                  <w:pPr>
                    <w:shd w:val="clear" w:color="auto" w:fill="C7DAF1" w:themeFill="text2" w:themeFillTint="32"/>
                    <w:spacing w:line="240" w:lineRule="auto"/>
                    <w:rPr>
                      <w:rFonts w:ascii="宋体" w:hAnsi="宋体"/>
                    </w:rPr>
                  </w:pPr>
                  <w:r>
                    <w:rPr>
                      <w:rFonts w:hint="eastAsia" w:ascii="宋体" w:hAnsi="宋体"/>
                      <w:lang w:val="en-US" w:eastAsia="zh-CN"/>
                    </w:rPr>
                    <w:t>交流合作部</w:t>
                  </w:r>
                </w:p>
              </w:tc>
              <w:tc>
                <w:tcPr>
                  <w:tcW w:w="1774" w:type="dxa"/>
                  <w:shd w:val="clear" w:color="auto" w:fill="auto"/>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w:t>
            </w:r>
            <w:r>
              <w:rPr>
                <w:rFonts w:hint="eastAsia"/>
                <w:lang w:val="en-US" w:eastAsia="zh-CN"/>
              </w:rPr>
              <w:t>办公室5</w:t>
            </w:r>
            <w:r>
              <w:rPr>
                <w:rFonts w:hint="eastAsia"/>
              </w:rPr>
              <w:t>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组织建立、实施和保持了适当的设计</w:t>
            </w:r>
            <w:r>
              <w:rPr>
                <w:rFonts w:hint="eastAsia" w:ascii="Times New Roman" w:hAnsi="Times New Roman" w:eastAsia="宋体" w:cs="Times New Roman"/>
              </w:rPr>
              <w:t>和开发过程，以确保后续的产品和服务的提供。（适用时）</w:t>
            </w:r>
          </w:p>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rPr>
              <w:t>审核期间内设计和开发新产品/项目名称：</w:t>
            </w:r>
            <w:r>
              <w:rPr>
                <w:rFonts w:hint="eastAsia" w:ascii="Times New Roman" w:hAnsi="Times New Roman" w:eastAsia="宋体" w:cs="Times New Roman"/>
                <w:lang w:eastAsia="zh-CN"/>
              </w:rPr>
              <w:t>“</w:t>
            </w:r>
            <w:r>
              <w:rPr>
                <w:rFonts w:hint="eastAsia" w:ascii="Times New Roman" w:hAnsi="Times New Roman" w:eastAsia="宋体" w:cs="Times New Roman"/>
              </w:rPr>
              <w:t>中国乐凯集团有限公司</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项目诊断</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307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shd w:val="clear" w:color="auto" w:fill="C7DAF1" w:themeFill="text2" w:themeFillTint="32"/>
                    <w:jc w:val="left"/>
                  </w:pPr>
                  <w:r>
                    <w:rPr>
                      <w:rFonts w:hint="eastAsia"/>
                    </w:rPr>
                    <w:t>产品/服务名称</w:t>
                  </w:r>
                </w:p>
              </w:tc>
              <w:tc>
                <w:tcPr>
                  <w:tcW w:w="307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spacing w:line="300" w:lineRule="exact"/>
                  </w:pPr>
                  <w:r>
                    <w:rPr>
                      <w:rFonts w:hint="default" w:ascii="Times New Roman" w:hAnsi="Times New Roman" w:cs="Times New Roman"/>
                      <w:sz w:val="21"/>
                      <w:szCs w:val="21"/>
                    </w:rPr>
                    <w:t>信息服务</w:t>
                  </w:r>
                  <w:r>
                    <w:rPr>
                      <w:rFonts w:hint="default" w:ascii="Times New Roman" w:hAnsi="Times New Roman" w:cs="Times New Roman"/>
                      <w:sz w:val="21"/>
                      <w:szCs w:val="21"/>
                      <w:lang w:val="en-US" w:eastAsia="zh-CN"/>
                    </w:rPr>
                    <w:t>及</w:t>
                  </w:r>
                  <w:r>
                    <w:rPr>
                      <w:rFonts w:hint="default" w:ascii="Times New Roman" w:hAnsi="Times New Roman" w:cs="Times New Roman"/>
                      <w:sz w:val="21"/>
                      <w:szCs w:val="21"/>
                    </w:rPr>
                    <w:t>咨询诊断</w:t>
                  </w:r>
                </w:p>
              </w:tc>
              <w:tc>
                <w:tcPr>
                  <w:tcW w:w="3070" w:type="dxa"/>
                </w:tcPr>
                <w:p>
                  <w:pPr>
                    <w:shd w:val="clear" w:color="auto" w:fill="C7DAF1" w:themeFill="text2" w:themeFillTint="32"/>
                    <w:jc w:val="left"/>
                    <w:rPr>
                      <w:rFonts w:hint="eastAsia" w:eastAsia="宋体"/>
                      <w:lang w:val="en-US" w:eastAsia="zh-CN"/>
                    </w:rPr>
                  </w:pPr>
                  <w:r>
                    <w:rPr>
                      <w:rFonts w:hint="eastAsia"/>
                      <w:lang w:val="en-US" w:eastAsia="zh-CN"/>
                    </w:rPr>
                    <w:t>需求分析</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color w:val="000000"/>
                <w:spacing w:val="-10"/>
                <w:szCs w:val="21"/>
                <w:lang w:val="en-US" w:eastAsia="zh-CN"/>
              </w:rPr>
              <w:t>项目对接</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24</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NhMjk0NDI2YjNjYzhhN2E3NjUyZmQ5YmIxMmQzOTYifQ=="/>
  </w:docVars>
  <w:rsids>
    <w:rsidRoot w:val="00000000"/>
    <w:rsid w:val="5AD07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Normal Indent"/>
    <w:basedOn w:val="1"/>
    <w:qFormat/>
    <w:uiPriority w:val="0"/>
    <w:pPr>
      <w:ind w:firstLine="42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3</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2023-01-15T02:15:29Z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