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1384-2022-EnMS</w:t>
      </w:r>
      <w:bookmarkEnd w:id="0"/>
    </w:p>
    <w:p>
      <w:pPr>
        <w:jc w:val="left"/>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3"/>
      </w:pPr>
    </w:p>
    <w:p>
      <w:pPr>
        <w:pStyle w:val="13"/>
      </w:pPr>
    </w:p>
    <w:p>
      <w:pPr>
        <w:pStyle w:val="13"/>
      </w:pPr>
    </w:p>
    <w:p>
      <w:pPr>
        <w:pStyle w:val="13"/>
      </w:pPr>
    </w:p>
    <w:p>
      <w:pPr>
        <w:pStyle w:val="13"/>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河北龙大包装制品有限公司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河北龙大包装制品有限公司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河北邢台高新技术产业开发区滏河街以西、迎宾路以北、滏西街东侧</w:t>
            </w:r>
            <w:bookmarkEnd w:id="6"/>
          </w:p>
        </w:tc>
        <w:tc>
          <w:tcPr>
            <w:tcW w:w="1242" w:type="dxa"/>
            <w:vMerge w:val="restart"/>
            <w:vAlign w:val="center"/>
          </w:tcPr>
          <w:p>
            <w:r>
              <w:rPr>
                <w:rFonts w:hint="eastAsia"/>
              </w:rPr>
              <w:t>邮编</w:t>
            </w:r>
          </w:p>
        </w:tc>
        <w:tc>
          <w:tcPr>
            <w:tcW w:w="1771" w:type="dxa"/>
          </w:tcPr>
          <w:p>
            <w:bookmarkStart w:id="7" w:name="注册邮编"/>
            <w:r>
              <w:t>055350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河北邢台高新技术产业开发区滏河街以西、迎宾路以北、滏西街东侧</w:t>
            </w:r>
            <w:bookmarkEnd w:id="8"/>
          </w:p>
        </w:tc>
        <w:tc>
          <w:tcPr>
            <w:tcW w:w="1242" w:type="dxa"/>
            <w:vMerge w:val="continue"/>
            <w:vAlign w:val="center"/>
          </w:tcPr>
          <w:p/>
        </w:tc>
        <w:tc>
          <w:tcPr>
            <w:tcW w:w="1771" w:type="dxa"/>
          </w:tcPr>
          <w:p>
            <w:bookmarkStart w:id="9" w:name="办公邮编"/>
            <w:r>
              <w:t>055350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屈晓美</w:t>
            </w:r>
            <w:bookmarkEnd w:id="10"/>
          </w:p>
        </w:tc>
        <w:tc>
          <w:tcPr>
            <w:tcW w:w="1313" w:type="dxa"/>
            <w:vAlign w:val="center"/>
          </w:tcPr>
          <w:p>
            <w:r>
              <w:rPr>
                <w:rFonts w:hint="eastAsia"/>
              </w:rPr>
              <w:t>电话.</w:t>
            </w:r>
          </w:p>
        </w:tc>
        <w:tc>
          <w:tcPr>
            <w:tcW w:w="2180" w:type="dxa"/>
            <w:vAlign w:val="center"/>
          </w:tcPr>
          <w:p>
            <w:bookmarkStart w:id="11" w:name="联系人电话"/>
            <w:r>
              <w:t>13643198581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陈秀红</w:t>
            </w:r>
            <w:bookmarkEnd w:id="13"/>
          </w:p>
        </w:tc>
        <w:tc>
          <w:tcPr>
            <w:tcW w:w="1313" w:type="dxa"/>
            <w:vAlign w:val="center"/>
          </w:tcPr>
          <w:p>
            <w:r>
              <w:rPr>
                <w:rFonts w:hint="eastAsia"/>
              </w:rPr>
              <w:t>管理者代表</w:t>
            </w:r>
          </w:p>
        </w:tc>
        <w:tc>
          <w:tcPr>
            <w:tcW w:w="2180" w:type="dxa"/>
          </w:tcPr>
          <w:p>
            <w:bookmarkStart w:id="14" w:name="管理者代表"/>
            <w:r>
              <w:t>张立峰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r>
              <w:rPr>
                <w:rFonts w:hint="eastAsia"/>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纸餐巾工艺流程图</w:t>
            </w:r>
          </w:p>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A1原纸的验收CCP1</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上卷</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压纹</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折叠</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裁切</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预压</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打号</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包装</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入库</w:t>
            </w:r>
          </w:p>
          <w:p>
            <w:pPr>
              <w:tabs>
                <w:tab w:val="left" w:pos="0"/>
              </w:tabs>
              <w:rPr>
                <w:rFonts w:hint="eastAsia" w:ascii="宋体" w:hAnsi="宋体" w:eastAsia="宋体" w:cs="Times New Roman"/>
                <w:color w:val="000000"/>
                <w:szCs w:val="21"/>
              </w:rPr>
            </w:pPr>
          </w:p>
          <w:p>
            <w:pPr>
              <w:tabs>
                <w:tab w:val="left" w:pos="0"/>
              </w:tabs>
              <w:rPr>
                <w:rFonts w:hint="eastAsia" w:ascii="宋体" w:hAnsi="宋体" w:eastAsia="宋体" w:cs="Times New Roman"/>
                <w:color w:val="000000"/>
                <w:szCs w:val="21"/>
              </w:rPr>
            </w:pPr>
            <w:r>
              <w:rPr>
                <w:rFonts w:hint="eastAsia" w:ascii="宋体" w:hAnsi="宋体" w:cs="Times New Roman"/>
                <w:color w:val="000000"/>
                <w:szCs w:val="21"/>
                <w:lang w:val="en-US" w:eastAsia="zh-CN"/>
              </w:rPr>
              <w:t>制品</w:t>
            </w:r>
            <w:r>
              <w:rPr>
                <w:rFonts w:hint="eastAsia" w:ascii="宋体" w:hAnsi="宋体" w:eastAsia="宋体" w:cs="Times New Roman"/>
                <w:color w:val="000000"/>
                <w:szCs w:val="21"/>
              </w:rPr>
              <w:t>成型工艺流程图</w:t>
            </w:r>
          </w:p>
          <w:p>
            <w:r>
              <w:rPr>
                <w:rFonts w:hint="eastAsia" w:ascii="宋体" w:hAnsi="宋体" w:eastAsia="宋体" w:cs="Times New Roman"/>
                <w:color w:val="000000"/>
                <w:szCs w:val="21"/>
              </w:rPr>
              <w:t>原纸领料</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穿纸</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上油</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刷胶</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卷管</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断管</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红外烘干</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折弯</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微波烘干</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切角/U型/连排包装</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在线检测</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包装</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入库</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2023年01月08日 上午至2023年01月09日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RB/T</w:t>
            </w:r>
            <w:r>
              <w:rPr>
                <w:rFonts w:hint="eastAsia"/>
                <w:lang w:val="en-US" w:eastAsia="zh-CN"/>
              </w:rPr>
              <w:t>118-2014</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vAlign w:val="top"/>
          </w:tcPr>
          <w:p>
            <w:pPr>
              <w:rPr>
                <w:rFonts w:hint="eastAsia" w:ascii="宋体"/>
                <w:b/>
                <w:color w:val="0000FF"/>
                <w:szCs w:val="21"/>
                <w:lang w:val="en-US" w:eastAsia="zh-CN"/>
              </w:rPr>
            </w:pPr>
            <w:r>
              <w:rPr>
                <w:rFonts w:hint="eastAsia" w:ascii="宋体"/>
                <w:b/>
                <w:color w:val="0000FF"/>
                <w:szCs w:val="21"/>
                <w:lang w:val="en-US" w:eastAsia="zh-CN"/>
              </w:rPr>
              <w:t>山东省济宁市/周涛</w:t>
            </w:r>
          </w:p>
          <w:p>
            <w:pPr>
              <w:rPr>
                <w:rFonts w:hint="default" w:ascii="宋体" w:eastAsia="宋体"/>
                <w:b/>
                <w:color w:val="0000FF"/>
                <w:szCs w:val="21"/>
                <w:lang w:val="en-US" w:eastAsia="zh-CN"/>
              </w:rPr>
            </w:pPr>
            <w:r>
              <w:rPr>
                <w:rFonts w:hint="eastAsia" w:ascii="宋体" w:hAnsi="Times New Roman" w:eastAsia="宋体" w:cs="Times New Roman"/>
                <w:b/>
                <w:color w:val="0000FF"/>
                <w:szCs w:val="21"/>
              </w:rPr>
              <w:t>河北邢台高新技术产业开发区滏河街以西、迎宾路以北、滏西街东侧</w:t>
            </w:r>
            <w:r>
              <w:rPr>
                <w:rFonts w:hint="eastAsia" w:ascii="宋体" w:hAnsi="Times New Roman" w:eastAsia="宋体" w:cs="Times New Roman"/>
                <w:b/>
                <w:color w:val="0000FF"/>
                <w:szCs w:val="21"/>
                <w:lang w:val="en-US" w:eastAsia="zh-CN"/>
              </w:rPr>
              <w:t>/李丽英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w:t>
            </w:r>
            <w:r>
              <w:rPr>
                <w:rFonts w:hint="eastAsia" w:ascii="宋体"/>
                <w:b/>
                <w:color w:val="0000FF"/>
                <w:szCs w:val="21"/>
              </w:rPr>
              <w:sym w:font="Wingdings 2" w:char="00A3"/>
            </w:r>
            <w:r>
              <w:rPr>
                <w:rFonts w:hint="eastAsia" w:ascii="宋体"/>
                <w:b/>
                <w:color w:val="0000FF"/>
                <w:szCs w:val="21"/>
              </w:rPr>
              <w:t>无人机</w:t>
            </w:r>
            <w:r>
              <w:rPr>
                <w:rFonts w:hint="eastAsia" w:ascii="宋体"/>
                <w:b/>
                <w:color w:val="0000FF"/>
                <w:szCs w:val="21"/>
              </w:rPr>
              <w:sym w:font="Wingdings 2" w:char="00A3"/>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许可范围内食品用纸包装、容器、纸巾纸的生产涉及相关能源管理活动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23"/>
        <w:gridCol w:w="1415"/>
        <w:gridCol w:w="1803"/>
        <w:gridCol w:w="1845"/>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23" w:type="dxa"/>
            <w:shd w:val="clear" w:color="auto" w:fill="F3F3F3"/>
            <w:tcMar>
              <w:left w:w="57" w:type="dxa"/>
              <w:right w:w="57" w:type="dxa"/>
            </w:tcMar>
          </w:tcPr>
          <w:p>
            <w:r>
              <w:rPr>
                <w:rFonts w:hint="eastAsia"/>
              </w:rPr>
              <w:t>经营场所的地址</w:t>
            </w:r>
          </w:p>
          <w:p>
            <w:r>
              <w:rPr>
                <w:rFonts w:hint="eastAsia"/>
              </w:rPr>
              <w:t>（多现场和临时现场）</w:t>
            </w:r>
          </w:p>
        </w:tc>
        <w:tc>
          <w:tcPr>
            <w:tcW w:w="1415" w:type="dxa"/>
            <w:shd w:val="clear" w:color="auto" w:fill="F3F3F3"/>
            <w:tcMar>
              <w:left w:w="57" w:type="dxa"/>
              <w:right w:w="57" w:type="dxa"/>
            </w:tcMar>
          </w:tcPr>
          <w:p>
            <w:r>
              <w:rPr>
                <w:rFonts w:hint="eastAsia"/>
              </w:rPr>
              <w:t>员工人数</w:t>
            </w:r>
          </w:p>
        </w:tc>
        <w:tc>
          <w:tcPr>
            <w:tcW w:w="1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845" w:type="dxa"/>
            <w:shd w:val="clear" w:color="auto" w:fill="F3F3F3"/>
            <w:tcMar>
              <w:left w:w="57" w:type="dxa"/>
              <w:right w:w="57" w:type="dxa"/>
            </w:tcMar>
          </w:tcPr>
          <w:p>
            <w:r>
              <w:rPr>
                <w:rFonts w:hint="eastAsia"/>
              </w:rPr>
              <w:t>标准</w:t>
            </w:r>
          </w:p>
        </w:tc>
        <w:tc>
          <w:tcPr>
            <w:tcW w:w="492"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河北龙大包装制品有限公司</w:t>
            </w:r>
            <w:r>
              <w:rPr>
                <w:rFonts w:hint="eastAsia"/>
                <w:sz w:val="21"/>
                <w:szCs w:val="21"/>
                <w:lang w:val="en-US" w:eastAsia="zh-CN"/>
              </w:rPr>
              <w:t>/</w:t>
            </w:r>
            <w:r>
              <w:rPr>
                <w:rFonts w:asciiTheme="minorEastAsia" w:hAnsiTheme="minorEastAsia" w:eastAsiaTheme="minorEastAsia"/>
                <w:sz w:val="20"/>
              </w:rPr>
              <w:t>河北邢台高新技术产业开发区滏河街以西、迎宾路以北、滏西街东侧</w:t>
            </w:r>
          </w:p>
        </w:tc>
        <w:tc>
          <w:tcPr>
            <w:tcW w:w="1423" w:type="dxa"/>
            <w:vAlign w:val="top"/>
          </w:tcPr>
          <w:p>
            <w:pPr>
              <w:spacing w:before="40" w:after="40"/>
              <w:rPr>
                <w:rFonts w:ascii="Times New Roman" w:hAnsi="Times New Roman" w:eastAsia="黑体" w:cs="Times New Roman"/>
                <w:kern w:val="2"/>
                <w:sz w:val="21"/>
                <w:szCs w:val="21"/>
                <w:lang w:val="de-DE" w:eastAsia="ja-JP" w:bidi="ar-SA"/>
              </w:rPr>
            </w:pPr>
            <w:r>
              <w:rPr>
                <w:rFonts w:asciiTheme="minorEastAsia" w:hAnsiTheme="minorEastAsia" w:eastAsiaTheme="minorEastAsia"/>
                <w:sz w:val="20"/>
              </w:rPr>
              <w:t>河北邢台高新技术产业开发区滏河街以西、迎宾路以北、滏西街东侧</w:t>
            </w:r>
          </w:p>
        </w:tc>
        <w:tc>
          <w:tcPr>
            <w:tcW w:w="1415"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cs="Times New Roman" w:asciiTheme="minorEastAsia" w:hAnsiTheme="minorEastAsia" w:eastAsiaTheme="minorEastAsia"/>
                <w:sz w:val="20"/>
                <w:lang w:val="en-US" w:eastAsia="zh-CN"/>
              </w:rPr>
              <w:t>总人数245人，能源覆盖人数85人</w:t>
            </w:r>
          </w:p>
        </w:tc>
        <w:tc>
          <w:tcPr>
            <w:tcW w:w="1803" w:type="dxa"/>
            <w:vAlign w:val="center"/>
          </w:tcPr>
          <w:p>
            <w:pPr>
              <w:pStyle w:val="22"/>
              <w:rPr>
                <w:rFonts w:ascii="Times New Roman" w:hAnsi="Times New Roman" w:eastAsia="黑体" w:cs="Arial"/>
                <w:kern w:val="2"/>
                <w:sz w:val="21"/>
                <w:szCs w:val="21"/>
                <w:lang w:val="en-US" w:eastAsia="ja-JP" w:bidi="ar-SA"/>
              </w:rPr>
            </w:pPr>
            <w:r>
              <w:rPr>
                <w:sz w:val="20"/>
              </w:rPr>
              <w:t>许可范围内食品用纸包装、容器、纸巾纸的生产涉及相关能源管理活动</w:t>
            </w:r>
          </w:p>
        </w:tc>
        <w:tc>
          <w:tcPr>
            <w:tcW w:w="1845" w:type="dxa"/>
            <w:vAlign w:val="center"/>
          </w:tcPr>
          <w:p>
            <w:pPr>
              <w:rPr>
                <w:rFonts w:hint="eastAsia" w:ascii="宋体" w:hAnsi="宋体"/>
                <w:b/>
                <w:sz w:val="21"/>
                <w:szCs w:val="21"/>
              </w:rPr>
            </w:pPr>
            <w:r>
              <w:rPr>
                <w:rFonts w:hint="eastAsia" w:ascii="宋体" w:hAnsi="宋体"/>
                <w:b/>
                <w:sz w:val="21"/>
                <w:szCs w:val="21"/>
              </w:rPr>
              <w:t>GB/T23331-2020</w:t>
            </w:r>
          </w:p>
          <w:p>
            <w:pPr>
              <w:pStyle w:val="13"/>
              <w:rPr>
                <w:rFonts w:hint="eastAsia" w:ascii="宋体" w:hAnsi="宋体" w:eastAsia="宋体" w:cs="Times New Roman"/>
                <w:b/>
                <w:bCs w:val="0"/>
                <w:spacing w:val="0"/>
                <w:kern w:val="2"/>
                <w:sz w:val="21"/>
                <w:szCs w:val="21"/>
                <w:lang w:val="en-US" w:eastAsia="zh-CN" w:bidi="ar-SA"/>
              </w:rPr>
            </w:pPr>
            <w:r>
              <w:rPr>
                <w:rFonts w:hint="eastAsia" w:ascii="宋体" w:hAnsi="宋体"/>
                <w:b/>
                <w:sz w:val="21"/>
                <w:szCs w:val="21"/>
              </w:rPr>
              <w:t>RB</w:t>
            </w:r>
            <w:r>
              <w:rPr>
                <w:rFonts w:hint="eastAsia" w:ascii="宋体" w:hAnsi="宋体" w:eastAsia="宋体" w:cs="Times New Roman"/>
                <w:b/>
                <w:bCs w:val="0"/>
                <w:spacing w:val="0"/>
                <w:kern w:val="2"/>
                <w:sz w:val="21"/>
                <w:szCs w:val="21"/>
                <w:lang w:val="en-US" w:eastAsia="zh-CN" w:bidi="ar-SA"/>
              </w:rPr>
              <w:t xml:space="preserve">/T 118-2014 </w:t>
            </w:r>
          </w:p>
          <w:p>
            <w:pPr>
              <w:spacing w:before="40" w:after="40"/>
              <w:rPr>
                <w:rFonts w:ascii="Times New Roman" w:hAnsi="Times New Roman" w:eastAsia="黑体" w:cs="Times New Roman"/>
                <w:kern w:val="2"/>
                <w:sz w:val="21"/>
                <w:szCs w:val="21"/>
                <w:lang w:val="en-US" w:eastAsia="ja-JP" w:bidi="ar-SA"/>
              </w:rPr>
            </w:pPr>
          </w:p>
        </w:tc>
        <w:tc>
          <w:tcPr>
            <w:tcW w:w="492"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423" w:type="dxa"/>
            <w:vAlign w:val="center"/>
          </w:tcPr>
          <w:p>
            <w:pPr>
              <w:rPr>
                <w:lang w:eastAsia="ja-JP"/>
              </w:rPr>
            </w:pPr>
          </w:p>
        </w:tc>
        <w:tc>
          <w:tcPr>
            <w:tcW w:w="1415" w:type="dxa"/>
            <w:vAlign w:val="center"/>
          </w:tcPr>
          <w:p>
            <w:pPr>
              <w:rPr>
                <w:lang w:eastAsia="ja-JP"/>
              </w:rPr>
            </w:pPr>
          </w:p>
        </w:tc>
        <w:tc>
          <w:tcPr>
            <w:tcW w:w="1803" w:type="dxa"/>
            <w:vAlign w:val="center"/>
          </w:tcPr>
          <w:p>
            <w:pPr>
              <w:rPr>
                <w:lang w:eastAsia="ja-JP"/>
              </w:rPr>
            </w:pPr>
          </w:p>
        </w:tc>
        <w:tc>
          <w:tcPr>
            <w:tcW w:w="1845" w:type="dxa"/>
            <w:vAlign w:val="center"/>
          </w:tcPr>
          <w:p>
            <w:pPr>
              <w:rPr>
                <w:lang w:eastAsia="ja-JP"/>
              </w:rPr>
            </w:pPr>
          </w:p>
        </w:tc>
        <w:tc>
          <w:tcPr>
            <w:tcW w:w="4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423" w:type="dxa"/>
            <w:vAlign w:val="center"/>
          </w:tcPr>
          <w:p>
            <w:pPr>
              <w:rPr>
                <w:lang w:eastAsia="ja-JP"/>
              </w:rPr>
            </w:pPr>
          </w:p>
        </w:tc>
        <w:tc>
          <w:tcPr>
            <w:tcW w:w="1415" w:type="dxa"/>
            <w:vAlign w:val="center"/>
          </w:tcPr>
          <w:p>
            <w:pPr>
              <w:rPr>
                <w:lang w:eastAsia="ja-JP"/>
              </w:rPr>
            </w:pPr>
          </w:p>
        </w:tc>
        <w:tc>
          <w:tcPr>
            <w:tcW w:w="1803" w:type="dxa"/>
            <w:vAlign w:val="center"/>
          </w:tcPr>
          <w:p>
            <w:pPr>
              <w:rPr>
                <w:lang w:eastAsia="ja-JP"/>
              </w:rPr>
            </w:pPr>
          </w:p>
        </w:tc>
        <w:tc>
          <w:tcPr>
            <w:tcW w:w="1845" w:type="dxa"/>
            <w:vAlign w:val="center"/>
          </w:tcPr>
          <w:p>
            <w:pPr>
              <w:rPr>
                <w:lang w:eastAsia="ja-JP"/>
              </w:rPr>
            </w:pPr>
          </w:p>
        </w:tc>
        <w:tc>
          <w:tcPr>
            <w:tcW w:w="4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423" w:type="dxa"/>
            <w:vAlign w:val="center"/>
          </w:tcPr>
          <w:p>
            <w:pPr>
              <w:rPr>
                <w:lang w:eastAsia="ja-JP"/>
              </w:rPr>
            </w:pPr>
          </w:p>
        </w:tc>
        <w:tc>
          <w:tcPr>
            <w:tcW w:w="1415" w:type="dxa"/>
            <w:vAlign w:val="center"/>
          </w:tcPr>
          <w:p>
            <w:pPr>
              <w:rPr>
                <w:lang w:eastAsia="ja-JP"/>
              </w:rPr>
            </w:pPr>
          </w:p>
        </w:tc>
        <w:tc>
          <w:tcPr>
            <w:tcW w:w="1803" w:type="dxa"/>
            <w:vAlign w:val="center"/>
          </w:tcPr>
          <w:p>
            <w:pPr>
              <w:rPr>
                <w:lang w:eastAsia="ja-JP"/>
              </w:rPr>
            </w:pPr>
          </w:p>
        </w:tc>
        <w:tc>
          <w:tcPr>
            <w:tcW w:w="1845" w:type="dxa"/>
            <w:vAlign w:val="center"/>
          </w:tcPr>
          <w:p>
            <w:pPr>
              <w:rPr>
                <w:lang w:eastAsia="ja-JP"/>
              </w:rPr>
            </w:pPr>
          </w:p>
        </w:tc>
        <w:tc>
          <w:tcPr>
            <w:tcW w:w="492"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423" w:type="dxa"/>
            <w:vAlign w:val="center"/>
          </w:tcPr>
          <w:p>
            <w:pPr>
              <w:rPr>
                <w:lang w:eastAsia="ja-JP"/>
              </w:rPr>
            </w:pPr>
          </w:p>
        </w:tc>
        <w:tc>
          <w:tcPr>
            <w:tcW w:w="1415" w:type="dxa"/>
            <w:vAlign w:val="center"/>
          </w:tcPr>
          <w:p>
            <w:pPr>
              <w:rPr>
                <w:lang w:eastAsia="ja-JP"/>
              </w:rPr>
            </w:pPr>
          </w:p>
        </w:tc>
        <w:tc>
          <w:tcPr>
            <w:tcW w:w="1803" w:type="dxa"/>
            <w:vAlign w:val="center"/>
          </w:tcPr>
          <w:p>
            <w:pPr>
              <w:rPr>
                <w:lang w:eastAsia="ja-JP"/>
              </w:rPr>
            </w:pPr>
          </w:p>
        </w:tc>
        <w:tc>
          <w:tcPr>
            <w:tcW w:w="1845" w:type="dxa"/>
            <w:vAlign w:val="center"/>
          </w:tcPr>
          <w:p>
            <w:pPr>
              <w:rPr>
                <w:lang w:eastAsia="ja-JP"/>
              </w:rPr>
            </w:pPr>
          </w:p>
        </w:tc>
        <w:tc>
          <w:tcPr>
            <w:tcW w:w="492"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组员</w:t>
            </w:r>
          </w:p>
        </w:tc>
        <w:tc>
          <w:tcPr>
            <w:tcW w:w="711" w:type="dxa"/>
            <w:vAlign w:val="center"/>
          </w:tcPr>
          <w:p>
            <w:r>
              <w:t>男</w:t>
            </w:r>
          </w:p>
        </w:tc>
        <w:tc>
          <w:tcPr>
            <w:tcW w:w="3870" w:type="dxa"/>
            <w:vAlign w:val="center"/>
          </w:tcPr>
          <w:p>
            <w:r>
              <w:t>2021-N1EnMS-2072033</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r>
        <w:rPr>
          <w:rFonts w:hint="eastAsia"/>
        </w:rPr>
        <w:sym w:font="Wingdings 2" w:char="0052"/>
      </w:r>
      <w:r>
        <w:rPr>
          <w:rFonts w:hint="eastAsia"/>
        </w:rPr>
        <w:t>EnMS□FSMS□HACCP的附件）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inline distT="0" distB="0" distL="114300" distR="114300">
                  <wp:extent cx="982345" cy="306070"/>
                  <wp:effectExtent l="0" t="0" r="0" b="1143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满足限额要求</w:t>
            </w:r>
            <w:r>
              <w:rPr>
                <w:rFonts w:hint="eastAsia"/>
              </w:rPr>
              <w:sym w:font="Wingdings 2" w:char="0052"/>
            </w:r>
            <w:r>
              <w:rPr>
                <w:rFonts w:hint="eastAsia"/>
              </w:rPr>
              <w:t>主要用能设备管理□能耗测量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A3"/>
            </w:r>
            <w:r>
              <w:rPr>
                <w:rFonts w:hint="eastAsia"/>
              </w:rPr>
              <w:t>能效监测</w:t>
            </w:r>
            <w:r>
              <w:rPr>
                <w:rFonts w:hint="eastAsia"/>
              </w:rPr>
              <w:sym w:font="Wingdings 2" w:char="0052"/>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pPr>
            <w:r>
              <w:rPr>
                <w:rFonts w:hint="eastAsia"/>
              </w:rPr>
              <w:t>最高管理者制定了文件化的管理体系方针：</w:t>
            </w:r>
            <w:r>
              <w:rPr>
                <w:rFonts w:hint="eastAsia" w:ascii="Times New Roman" w:hAnsi="Times New Roman" w:eastAsia="宋体" w:cs="Times New Roman"/>
                <w:b/>
                <w:bCs/>
              </w:rPr>
              <w:t>遵守法规，清洁生产，提高能效，持续改进</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highlight w:val="none"/>
                <w:lang w:val="en-US" w:eastAsia="zh-CN"/>
              </w:rPr>
              <w:t>行政人资部</w:t>
            </w:r>
            <w:r>
              <w:rPr>
                <w:rFonts w:hint="eastAsia"/>
                <w:lang w:val="en-US" w:eastAsia="zh-CN"/>
              </w:rPr>
              <w:t xml:space="preserve"> </w:t>
            </w:r>
            <w:r>
              <w:rPr>
                <w:rFonts w:hint="eastAsia"/>
              </w:rPr>
              <w:sym w:font="Wingdings 2" w:char="0052"/>
            </w:r>
            <w:r>
              <w:rPr>
                <w:rFonts w:hint="eastAsia"/>
              </w:rPr>
              <w:t>能源管理团队</w:t>
            </w:r>
            <w:r>
              <w:rPr>
                <w:rFonts w:hint="eastAsia"/>
                <w:lang w:eastAsia="zh-CN"/>
              </w:rPr>
              <w:t>——</w:t>
            </w:r>
            <w:r>
              <w:rPr>
                <w:rFonts w:hint="eastAsia"/>
                <w:highlight w:val="none"/>
                <w:lang w:val="en-US" w:eastAsia="zh-CN"/>
              </w:rPr>
              <w:t>生产部</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highlight w:val="none"/>
                <w:lang w:val="en-US" w:eastAsia="zh-CN"/>
              </w:rPr>
              <w:t>张立峰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及时更新掌握法律部法规的变化，进行合规性评价</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能源供应的中断</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及时了解供方的生产经营情况，寻求备用能源</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能源结构的变化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了解新能源的优势，及时调整</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能源使用包括(必要时，按每个场所来描述):（不必全选）</w:t>
            </w:r>
          </w:p>
          <w:p>
            <w:pPr>
              <w:shd w:val="clear" w:color="auto" w:fill="EBF1DE" w:themeFill="accent3" w:themeFillTint="32"/>
              <w:spacing w:before="40" w:after="40"/>
            </w:pPr>
            <w:r>
              <w:rPr>
                <w:rFonts w:hint="eastAsia"/>
              </w:rPr>
              <w:t>□蒸汽</w:t>
            </w:r>
            <w:r>
              <w:rPr>
                <w:rFonts w:hint="eastAsia"/>
                <w:highlight w:val="none"/>
              </w:rPr>
              <w:sym w:font="Wingdings 2" w:char="00A3"/>
            </w:r>
            <w:r>
              <w:rPr>
                <w:rFonts w:hint="eastAsia"/>
                <w:highlight w:val="none"/>
              </w:rPr>
              <w:t>天然气</w:t>
            </w:r>
            <w:r>
              <w:rPr>
                <w:rFonts w:hint="eastAsia"/>
                <w:highlight w:val="none"/>
              </w:rPr>
              <w:sym w:font="Wingdings 2" w:char="00A3"/>
            </w:r>
            <w:r>
              <w:rPr>
                <w:rFonts w:hint="eastAsia"/>
                <w:highlight w:val="none"/>
              </w:rPr>
              <w:t>燃料油</w:t>
            </w:r>
            <w:r>
              <w:rPr>
                <w:rFonts w:hint="eastAsia"/>
              </w:rPr>
              <w:t>□燃料气</w:t>
            </w:r>
            <w:r>
              <w:rPr>
                <w:rFonts w:hint="eastAsia"/>
              </w:rPr>
              <w:sym w:font="Wingdings 2" w:char="0052"/>
            </w:r>
            <w:r>
              <w:rPr>
                <w:rFonts w:hint="eastAsia"/>
              </w:rPr>
              <w:t>电力□氮气□风</w:t>
            </w:r>
            <w:r>
              <w:rPr>
                <w:rFonts w:hint="eastAsia"/>
              </w:rPr>
              <w:sym w:font="Wingdings 2" w:char="0052"/>
            </w:r>
            <w:r>
              <w:rPr>
                <w:rFonts w:hint="eastAsia"/>
              </w:rPr>
              <w:t>新鲜水□各种品质水</w:t>
            </w:r>
          </w:p>
          <w:p>
            <w:pPr>
              <w:jc w:val="left"/>
              <w:rPr>
                <w:rFonts w:hint="default" w:eastAsia="宋体"/>
                <w:lang w:val="en-US" w:eastAsia="zh-CN"/>
              </w:rPr>
            </w:pPr>
            <w:r>
              <w:rPr>
                <w:rFonts w:hint="eastAsia"/>
              </w:rPr>
              <w:t>□其他</w:t>
            </w:r>
            <w:r>
              <w:rPr>
                <w:rFonts w:hint="eastAsia"/>
                <w:lang w:eastAsia="zh-CN"/>
              </w:rPr>
              <w:t>——</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rPr>
              <w:sym w:font="Wingdings 2" w:char="0052"/>
            </w:r>
            <w:r>
              <w:rPr>
                <w:rFonts w:hint="eastAsia"/>
              </w:rPr>
              <w:t>单位产品综合能耗</w:t>
            </w:r>
            <w:r>
              <w:rPr>
                <w:rFonts w:hint="eastAsia"/>
              </w:rPr>
              <w:sym w:font="Wingdings 2" w:char="0052"/>
            </w:r>
            <w:r>
              <w:rPr>
                <w:rFonts w:hint="eastAsia"/>
              </w:rPr>
              <w:t>能源消费总量□单位产品蒸汽消耗</w:t>
            </w:r>
            <w:r>
              <w:rPr>
                <w:rFonts w:hint="eastAsia"/>
              </w:rPr>
              <w:sym w:font="Wingdings 2" w:char="0052"/>
            </w:r>
            <w:r>
              <w:rPr>
                <w:rFonts w:hint="eastAsia"/>
              </w:rPr>
              <w:t>单位产</w:t>
            </w:r>
            <w:r>
              <w:rPr>
                <w:rFonts w:hint="eastAsia"/>
                <w:lang w:val="en-US" w:eastAsia="zh-CN"/>
              </w:rPr>
              <w:t>值综合能耗</w:t>
            </w:r>
            <w:r>
              <w:rPr>
                <w:rFonts w:hint="eastAsia"/>
              </w:rPr>
              <w:t>□加热炉热效率□其他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highlight w:val="none"/>
                <w:lang w:val="en-US" w:eastAsia="zh-CN"/>
              </w:rPr>
              <w:t>2022.12</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sym w:font="Wingdings 2" w:char="00A3"/>
            </w:r>
            <w:r>
              <w:rPr>
                <w:rFonts w:hint="eastAsia"/>
              </w:rPr>
              <w:t>限额标准</w:t>
            </w:r>
            <w:r>
              <w:rPr>
                <w:rFonts w:hint="eastAsia"/>
              </w:rPr>
              <w:sym w:font="Wingdings 2" w:char="0052"/>
            </w:r>
            <w:r>
              <w:rPr>
                <w:rFonts w:hint="eastAsia"/>
              </w:rPr>
              <w:t>能源计量管理</w:t>
            </w:r>
            <w:r>
              <w:rPr>
                <w:rFonts w:hint="eastAsia"/>
              </w:rPr>
              <w:sym w:font="Wingdings 2" w:char="0052"/>
            </w:r>
            <w:r>
              <w:rPr>
                <w:rFonts w:hint="eastAsia"/>
              </w:rPr>
              <w:t>使用节能设备</w:t>
            </w:r>
            <w:r>
              <w:rPr>
                <w:rFonts w:hint="eastAsia"/>
              </w:rPr>
              <w:sym w:font="Wingdings 2" w:char="0052"/>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2460"/>
              <w:gridCol w:w="1270"/>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rPr>
                    <w:t>节能目标</w:t>
                  </w:r>
                  <w:r>
                    <w:rPr>
                      <w:rFonts w:hint="eastAsia" w:ascii="宋体" w:hAnsi="宋体"/>
                      <w:lang w:val="en-US" w:eastAsia="zh-CN"/>
                    </w:rPr>
                    <w:t>2021年</w:t>
                  </w:r>
                </w:p>
              </w:tc>
              <w:tc>
                <w:tcPr>
                  <w:tcW w:w="246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7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894"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2021年</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rPr>
                    <w:t>综合能耗，1</w:t>
                  </w:r>
                  <w:r>
                    <w:rPr>
                      <w:rFonts w:hint="eastAsia" w:ascii="宋体" w:hAnsi="宋体"/>
                      <w:sz w:val="21"/>
                      <w:szCs w:val="21"/>
                      <w:lang w:val="en-US" w:eastAsia="zh-CN"/>
                    </w:rPr>
                    <w:t>900</w:t>
                  </w:r>
                  <w:r>
                    <w:rPr>
                      <w:rFonts w:hint="eastAsia" w:ascii="宋体" w:hAnsi="宋体"/>
                      <w:sz w:val="21"/>
                      <w:szCs w:val="21"/>
                    </w:rPr>
                    <w:t>tce</w:t>
                  </w:r>
                </w:p>
              </w:tc>
              <w:tc>
                <w:tcPr>
                  <w:tcW w:w="246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US" w:eastAsia="zh-CN" w:bidi="ar-SA"/>
                    </w:rPr>
                  </w:pPr>
                  <w:r>
                    <w:rPr>
                      <w:rFonts w:hint="eastAsia"/>
                      <w:highlight w:val="none"/>
                      <w:lang w:val="en-US" w:eastAsia="zh-CN"/>
                    </w:rPr>
                    <w:t>加强节能管理，合理安排生产、提供设备用电效率</w:t>
                  </w:r>
                </w:p>
              </w:tc>
              <w:tc>
                <w:tcPr>
                  <w:tcW w:w="127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GB" w:eastAsia="zh-CN" w:bidi="ar-SA"/>
                    </w:rPr>
                  </w:pPr>
                  <w:r>
                    <w:rPr>
                      <w:rFonts w:hint="eastAsia"/>
                      <w:highlight w:val="none"/>
                      <w:lang w:val="en-US" w:eastAsia="zh-CN"/>
                    </w:rPr>
                    <w:t>行政人资部</w:t>
                  </w:r>
                </w:p>
              </w:tc>
              <w:tc>
                <w:tcPr>
                  <w:tcW w:w="1894" w:type="dxa"/>
                  <w:shd w:val="clear" w:color="auto" w:fill="auto"/>
                  <w:vAlign w:val="center"/>
                </w:tcPr>
                <w:p>
                  <w:pPr>
                    <w:jc w:val="center"/>
                    <w:rPr>
                      <w:rFonts w:ascii="宋体" w:hAnsi="宋体" w:eastAsia="宋体" w:cs="Times New Roman"/>
                      <w:kern w:val="2"/>
                      <w:sz w:val="21"/>
                      <w:szCs w:val="21"/>
                      <w:lang w:val="en-GB" w:eastAsia="zh-CN" w:bidi="ar-SA"/>
                    </w:rPr>
                  </w:pPr>
                  <w:r>
                    <w:rPr>
                      <w:rFonts w:hint="eastAsia" w:ascii="宋体" w:hAnsi="宋体"/>
                      <w:sz w:val="21"/>
                      <w:szCs w:val="21"/>
                      <w:lang w:val="en-US" w:eastAsia="zh-CN"/>
                    </w:rPr>
                    <w:t>1837.692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center"/>
                </w:tcPr>
                <w:p>
                  <w:pPr>
                    <w:jc w:val="left"/>
                    <w:rPr>
                      <w:rFonts w:hint="eastAsia" w:ascii="Times New Roman" w:hAnsi="Times New Roman" w:eastAsia="宋体" w:cs="Times New Roman"/>
                      <w:kern w:val="2"/>
                      <w:sz w:val="21"/>
                      <w:szCs w:val="24"/>
                      <w:highlight w:val="yellow"/>
                      <w:lang w:val="en-US" w:eastAsia="zh-CN" w:bidi="ar-SA"/>
                    </w:rPr>
                  </w:pPr>
                  <w:r>
                    <w:rPr>
                      <w:rFonts w:hint="eastAsia" w:ascii="宋体" w:hAnsi="宋体"/>
                      <w:sz w:val="21"/>
                      <w:szCs w:val="21"/>
                    </w:rPr>
                    <w:t>单位产品综合能耗:7.6kgce/万只纸品</w:t>
                  </w:r>
                </w:p>
              </w:tc>
              <w:tc>
                <w:tcPr>
                  <w:tcW w:w="246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yellow"/>
                      <w:lang w:val="en-US" w:eastAsia="zh-CN" w:bidi="ar-SA"/>
                    </w:rPr>
                  </w:pPr>
                  <w:r>
                    <w:rPr>
                      <w:rFonts w:hint="eastAsia"/>
                      <w:highlight w:val="none"/>
                      <w:lang w:val="en-US" w:eastAsia="zh-CN"/>
                    </w:rPr>
                    <w:t>加强节能管理，合理安排生产、提供设备用电效率</w:t>
                  </w:r>
                </w:p>
              </w:tc>
              <w:tc>
                <w:tcPr>
                  <w:tcW w:w="127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生产部</w:t>
                  </w:r>
                </w:p>
              </w:tc>
              <w:tc>
                <w:tcPr>
                  <w:tcW w:w="1894" w:type="dxa"/>
                  <w:shd w:val="clear" w:color="auto" w:fill="auto"/>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shd w:val="clear" w:color="auto" w:fill="auto"/>
                  <w:vAlign w:val="center"/>
                </w:tcPr>
                <w:p>
                  <w:pPr>
                    <w:jc w:val="left"/>
                    <w:rPr>
                      <w:highlight w:val="yellow"/>
                    </w:rPr>
                  </w:pPr>
                  <w:r>
                    <w:rPr>
                      <w:rFonts w:hint="eastAsia" w:ascii="宋体" w:hAnsi="宋体"/>
                      <w:sz w:val="21"/>
                      <w:szCs w:val="21"/>
                    </w:rPr>
                    <w:t>单位产值综合能耗3</w:t>
                  </w:r>
                  <w:r>
                    <w:rPr>
                      <w:rFonts w:hint="eastAsia" w:ascii="宋体" w:hAnsi="宋体"/>
                      <w:sz w:val="21"/>
                      <w:szCs w:val="21"/>
                      <w:lang w:val="en-US" w:eastAsia="zh-CN"/>
                    </w:rPr>
                    <w:t>5</w:t>
                  </w:r>
                  <w:r>
                    <w:rPr>
                      <w:rFonts w:hint="eastAsia" w:ascii="宋体" w:hAnsi="宋体"/>
                      <w:sz w:val="21"/>
                      <w:szCs w:val="21"/>
                    </w:rPr>
                    <w:t>kgce/万元</w:t>
                  </w:r>
                </w:p>
              </w:tc>
              <w:tc>
                <w:tcPr>
                  <w:tcW w:w="246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highlight w:val="none"/>
                      <w:lang w:val="en-US" w:eastAsia="zh-CN"/>
                    </w:rPr>
                    <w:t>加强节能管理，合理安排生产、提供设备用电效率，提高产品附加值</w:t>
                  </w:r>
                </w:p>
              </w:tc>
              <w:tc>
                <w:tcPr>
                  <w:tcW w:w="1270" w:type="dxa"/>
                  <w:shd w:val="clear" w:color="auto" w:fill="auto"/>
                  <w:vAlign w:val="center"/>
                </w:tcPr>
                <w:p>
                  <w:pPr>
                    <w:shd w:val="clear" w:color="auto" w:fill="EBF1DE" w:themeFill="accent3" w:themeFillTint="32"/>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行政人资部</w:t>
                  </w:r>
                </w:p>
              </w:tc>
              <w:tc>
                <w:tcPr>
                  <w:tcW w:w="1894" w:type="dxa"/>
                  <w:shd w:val="clear" w:color="auto" w:fill="auto"/>
                  <w:vAlign w:val="center"/>
                </w:tcPr>
                <w:p>
                  <w:pPr>
                    <w:jc w:val="center"/>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34.42</w:t>
                  </w:r>
                </w:p>
              </w:tc>
            </w:tr>
          </w:tbl>
          <w:p>
            <w:pPr>
              <w:shd w:val="clear" w:color="auto" w:fill="EBF1DE" w:themeFill="accent3" w:themeFillTint="32"/>
              <w:rPr>
                <w:rFonts w:hint="default" w:eastAsia="宋体"/>
                <w:highlight w:val="none"/>
                <w:lang w:val="en-US" w:eastAsia="zh-CN"/>
              </w:rPr>
            </w:pPr>
            <w:r>
              <w:rPr>
                <w:rFonts w:hint="eastAsia" w:ascii="Wingdings" w:hAnsi="Wingdings"/>
                <w:highlight w:val="none"/>
                <w:lang w:eastAsia="zh-CN"/>
              </w:rPr>
              <w:sym w:font="Wingdings 2" w:char="0052"/>
            </w:r>
            <w:r>
              <w:rPr>
                <w:rFonts w:hint="eastAsia"/>
                <w:highlight w:val="none"/>
              </w:rPr>
              <w:t>目标已实现</w:t>
            </w:r>
            <w:r>
              <w:rPr>
                <w:rFonts w:hint="eastAsia"/>
                <w:highlight w:val="none"/>
                <w:lang w:val="en-US" w:eastAsia="zh-CN"/>
              </w:rPr>
              <w:t>。</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lang w:val="en-US" w:eastAsia="zh-CN"/>
              </w:rPr>
            </w:pPr>
            <w:r>
              <w:rPr>
                <w:rFonts w:hint="eastAsia"/>
                <w:lang w:val="en-US" w:eastAsia="zh-CN"/>
              </w:rPr>
              <w:t>企业现有厂房占地面积6000000平方米</w:t>
            </w:r>
            <w:r>
              <w:rPr>
                <w:rFonts w:hint="eastAsia" w:ascii="Times New Roman" w:hAnsi="Times New Roman" w:eastAsia="宋体" w:cs="Times New Roman"/>
                <w:lang w:val="en-US" w:eastAsia="zh-CN"/>
              </w:rPr>
              <w:t>；3个生产车间（纸业车间、纸品车间、纸吸管车间）；</w:t>
            </w:r>
          </w:p>
          <w:p>
            <w:pPr>
              <w:shd w:val="clear" w:color="auto" w:fill="EBF1DE" w:themeFill="accent3" w:themeFillTint="32"/>
              <w:rPr>
                <w:highlight w:val="none"/>
                <w:u w:val="single"/>
              </w:rPr>
            </w:pPr>
            <w:r>
              <w:rPr>
                <w:rFonts w:hint="eastAsia"/>
              </w:rPr>
              <w:t>主要生产设备有：</w:t>
            </w:r>
            <w:r>
              <w:rPr>
                <w:rFonts w:hint="eastAsia"/>
                <w:u w:val="single"/>
                <w:lang w:val="en-US" w:eastAsia="zh-CN"/>
              </w:rPr>
              <w:t>淋模机</w:t>
            </w:r>
            <w:r>
              <w:rPr>
                <w:rFonts w:hint="eastAsia"/>
                <w:color w:val="000000"/>
                <w:szCs w:val="22"/>
                <w:highlight w:val="none"/>
                <w:u w:val="single"/>
              </w:rPr>
              <w:t>、</w:t>
            </w:r>
            <w:r>
              <w:rPr>
                <w:rFonts w:hint="eastAsia"/>
                <w:color w:val="000000"/>
                <w:szCs w:val="22"/>
                <w:highlight w:val="none"/>
                <w:u w:val="single"/>
                <w:lang w:val="en-US" w:eastAsia="zh-CN"/>
              </w:rPr>
              <w:t>胶印机</w:t>
            </w:r>
            <w:r>
              <w:rPr>
                <w:rFonts w:hint="eastAsia"/>
                <w:color w:val="000000"/>
                <w:szCs w:val="22"/>
                <w:highlight w:val="none"/>
                <w:u w:val="single"/>
              </w:rPr>
              <w:t>、</w:t>
            </w:r>
            <w:r>
              <w:rPr>
                <w:rFonts w:hint="eastAsia"/>
                <w:color w:val="000000"/>
                <w:szCs w:val="22"/>
                <w:highlight w:val="none"/>
                <w:u w:val="single"/>
                <w:lang w:val="en-US" w:eastAsia="zh-CN"/>
              </w:rPr>
              <w:t>空压机、</w:t>
            </w:r>
            <w:r>
              <w:rPr>
                <w:rFonts w:hint="eastAsia" w:ascii="Times New Roman" w:hAnsi="Times New Roman" w:eastAsia="宋体" w:cs="Times New Roman"/>
                <w:color w:val="000000"/>
                <w:szCs w:val="22"/>
                <w:highlight w:val="none"/>
                <w:u w:val="single"/>
                <w:lang w:val="en-US" w:eastAsia="zh-CN"/>
              </w:rPr>
              <w:t>全自动吸管生产线、</w:t>
            </w:r>
            <w:r>
              <w:rPr>
                <w:rFonts w:hint="eastAsia" w:ascii="宋体" w:hAnsi="宋体" w:eastAsia="宋体" w:cs="Times New Roman"/>
                <w:szCs w:val="21"/>
                <w:u w:val="single"/>
                <w:lang w:val="en-US" w:eastAsia="zh-CN"/>
              </w:rPr>
              <w:t>柔印机、贴版机、模切机、平模机</w:t>
            </w:r>
            <w:r>
              <w:rPr>
                <w:rFonts w:hint="eastAsia"/>
                <w:color w:val="000000"/>
                <w:szCs w:val="22"/>
                <w:highlight w:val="none"/>
                <w:u w:val="single"/>
                <w:lang w:val="en-US" w:eastAsia="zh-CN"/>
              </w:rPr>
              <w:t>等</w:t>
            </w:r>
            <w:r>
              <w:rPr>
                <w:rFonts w:hint="eastAsia"/>
                <w:highlight w:val="none"/>
                <w:u w:val="single"/>
              </w:rPr>
              <w:t>（列举2~4种）</w:t>
            </w:r>
          </w:p>
          <w:p>
            <w:pPr>
              <w:shd w:val="clear" w:color="auto" w:fill="EBF1DE" w:themeFill="accent3" w:themeFillTint="32"/>
              <w:rPr>
                <w:rFonts w:hint="eastAsia"/>
                <w:highlight w:val="none"/>
                <w:u w:val="single"/>
                <w:lang w:eastAsia="zh-CN"/>
              </w:rPr>
            </w:pPr>
            <w:r>
              <w:rPr>
                <w:rFonts w:hint="eastAsia"/>
                <w:highlight w:val="none"/>
              </w:rPr>
              <w:t>主要耗能设备有：</w:t>
            </w:r>
            <w:r>
              <w:rPr>
                <w:rFonts w:hint="eastAsia"/>
                <w:u w:val="single"/>
                <w:lang w:val="en-US" w:eastAsia="zh-CN"/>
              </w:rPr>
              <w:t>淋模机</w:t>
            </w:r>
            <w:r>
              <w:rPr>
                <w:rFonts w:hint="eastAsia"/>
                <w:color w:val="000000"/>
                <w:szCs w:val="22"/>
                <w:highlight w:val="none"/>
                <w:u w:val="single"/>
              </w:rPr>
              <w:t>、</w:t>
            </w:r>
            <w:r>
              <w:rPr>
                <w:rFonts w:hint="eastAsia"/>
                <w:color w:val="000000"/>
                <w:szCs w:val="22"/>
                <w:highlight w:val="none"/>
                <w:u w:val="single"/>
                <w:lang w:val="en-US" w:eastAsia="zh-CN"/>
              </w:rPr>
              <w:t>胶印机</w:t>
            </w:r>
            <w:r>
              <w:rPr>
                <w:rFonts w:hint="eastAsia"/>
                <w:color w:val="000000"/>
                <w:szCs w:val="22"/>
                <w:highlight w:val="none"/>
                <w:u w:val="single"/>
              </w:rPr>
              <w:t>、</w:t>
            </w:r>
            <w:r>
              <w:rPr>
                <w:rFonts w:hint="eastAsia"/>
                <w:color w:val="000000"/>
                <w:szCs w:val="22"/>
                <w:highlight w:val="none"/>
                <w:u w:val="single"/>
                <w:lang w:val="en-US" w:eastAsia="zh-CN"/>
              </w:rPr>
              <w:t>空压机</w:t>
            </w:r>
            <w:r>
              <w:rPr>
                <w:rFonts w:hint="eastAsia"/>
                <w:highlight w:val="none"/>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w:t>
            </w:r>
            <w:r>
              <w:rPr>
                <w:rFonts w:hint="eastAsia"/>
                <w:lang w:val="en-US" w:eastAsia="zh-CN"/>
              </w:rPr>
              <w:t>箱</w:t>
            </w:r>
            <w:r>
              <w:rPr>
                <w:rFonts w:hint="eastAsia" w:ascii="Wingdings" w:hAnsi="Wingdings"/>
                <w:lang w:eastAsia="zh-CN"/>
              </w:rPr>
              <w:sym w:font="Wingdings 2" w:char="0052"/>
            </w:r>
            <w:r>
              <w:rPr>
                <w:rFonts w:hint="eastAsia"/>
              </w:rPr>
              <w:t>空压</w:t>
            </w:r>
            <w:r>
              <w:rPr>
                <w:rFonts w:hint="eastAsia"/>
                <w:lang w:val="en-US" w:eastAsia="zh-CN"/>
              </w:rPr>
              <w:t>机</w:t>
            </w:r>
            <w:r>
              <w:rPr>
                <w:rFonts w:hint="eastAsia" w:ascii="Wingdings" w:hAnsi="Wingdings"/>
                <w:lang w:eastAsia="zh-CN"/>
              </w:rPr>
              <w:t>□</w:t>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能源计量器具有：</w:t>
            </w:r>
            <w:r>
              <w:rPr>
                <w:rFonts w:hint="eastAsia"/>
                <w:highlight w:val="none"/>
                <w:u w:val="single"/>
                <w:lang w:val="en-US" w:eastAsia="zh-CN"/>
              </w:rPr>
              <w:t>电表、水表、</w:t>
            </w:r>
            <w:r>
              <w:rPr>
                <w:rFonts w:hint="eastAsia"/>
                <w:highlight w:val="none"/>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highlight w:val="none"/>
                <w:lang w:eastAsia="zh-CN"/>
              </w:rPr>
              <w:sym w:font="Wingdings 2" w:char="00A3"/>
            </w:r>
            <w:r>
              <w:rPr>
                <w:rFonts w:hint="eastAsia"/>
                <w:highlight w:val="none"/>
              </w:rPr>
              <w:t>进行了定期校准</w:t>
            </w:r>
            <w:r>
              <w:rPr>
                <w:rFonts w:hint="eastAsia"/>
              </w:rPr>
              <w:t>/检定</w:t>
            </w:r>
            <w:r>
              <w:rPr>
                <w:rFonts w:hint="eastAsia" w:ascii="Wingdings" w:hAnsi="Wingdings"/>
                <w:lang w:eastAsia="zh-CN"/>
              </w:rPr>
              <w:sym w:font="Wingdings 2" w:char="0052"/>
            </w:r>
            <w:r>
              <w:rPr>
                <w:rFonts w:hint="eastAsia"/>
              </w:rPr>
              <w:t>未</w:t>
            </w:r>
            <w:r>
              <w:rPr>
                <w:rFonts w:hint="eastAsia"/>
                <w:lang w:val="en-US" w:eastAsia="zh-CN"/>
              </w:rPr>
              <w:t>提供</w:t>
            </w:r>
            <w:r>
              <w:rPr>
                <w:rFonts w:hint="eastAsia"/>
              </w:rPr>
              <w:t>行定期校准/检定</w:t>
            </w:r>
            <w:r>
              <w:rPr>
                <w:rFonts w:hint="eastAsia"/>
                <w:lang w:val="en-US" w:eastAsia="zh-CN"/>
              </w:rPr>
              <w:t>报告，</w:t>
            </w:r>
            <w:r>
              <w:rPr>
                <w:rFonts w:hint="eastAsia"/>
                <w:highlight w:val="none"/>
                <w:lang w:val="en-US" w:eastAsia="zh-CN"/>
              </w:rPr>
              <w:t>企业介绍</w:t>
            </w:r>
            <w:r>
              <w:rPr>
                <w:rFonts w:hint="eastAsia"/>
                <w:highlight w:val="none"/>
              </w:rPr>
              <w:t>：</w:t>
            </w:r>
            <w:r>
              <w:rPr>
                <w:rFonts w:hint="eastAsia"/>
                <w:highlight w:val="none"/>
                <w:lang w:val="en-US" w:eastAsia="zh-CN"/>
              </w:rPr>
              <w:t>由供方电力公司校验</w:t>
            </w:r>
            <w:r>
              <w:rPr>
                <w:rFonts w:hint="eastAsia"/>
                <w:lang w:val="en-US" w:eastAsia="zh-CN"/>
              </w:rPr>
              <w:t>。</w:t>
            </w:r>
            <w:r>
              <w:rPr>
                <w:rFonts w:hint="eastAsia"/>
                <w:highlight w:val="none"/>
                <w:lang w:val="en-US" w:eastAsia="zh-CN"/>
              </w:rPr>
              <w:t>企业安装的用于贸易结算的水表有检定证书见相关资料</w:t>
            </w:r>
            <w:r>
              <w:rPr>
                <w:rFonts w:hint="eastAsia"/>
                <w:lang w:val="en-US" w:eastAsia="zh-CN"/>
              </w:rPr>
              <w:t>。企业内部的电表未进行效验，已经与企业进行沟通。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ascii="Wingdings" w:hAnsi="Wingdings"/>
                <w:color w:val="auto"/>
                <w:highlight w:val="none"/>
                <w:lang w:eastAsia="zh-CN"/>
              </w:rPr>
              <w:sym w:font="Wingdings 2" w:char="00A3"/>
            </w:r>
            <w:r>
              <w:rPr>
                <w:rFonts w:hint="eastAsia"/>
                <w:color w:val="auto"/>
                <w:highlight w:val="none"/>
              </w:rPr>
              <w:t>操作规程</w:t>
            </w:r>
            <w:r>
              <w:rPr>
                <w:rFonts w:hint="eastAsia" w:ascii="Wingdings" w:hAnsi="Wingdings"/>
                <w:color w:val="auto"/>
                <w:highlight w:val="none"/>
                <w:lang w:eastAsia="zh-CN"/>
              </w:rPr>
              <w:sym w:font="Wingdings 2" w:char="0052"/>
            </w:r>
            <w:r>
              <w:rPr>
                <w:rFonts w:hint="eastAsia"/>
                <w:color w:val="auto"/>
                <w:highlight w:val="none"/>
              </w:rPr>
              <w:t>作业文件</w:t>
            </w:r>
            <w:r>
              <w:rPr>
                <w:rFonts w:hint="eastAsia" w:ascii="Wingdings" w:hAnsi="Wingdings"/>
                <w:color w:val="auto"/>
                <w:highlight w:val="none"/>
                <w:lang w:eastAsia="zh-CN"/>
              </w:rPr>
              <w:sym w:font="Wingdings 2" w:char="00A3"/>
            </w:r>
            <w:r>
              <w:rPr>
                <w:rFonts w:hint="eastAsia"/>
                <w:color w:val="auto"/>
                <w:highlight w:val="none"/>
              </w:rPr>
              <w:t>工艺卡片</w:t>
            </w:r>
            <w:r>
              <w:rPr>
                <w:rFonts w:hint="eastAsia" w:ascii="Wingdings" w:hAnsi="Wingdings"/>
                <w:color w:val="auto"/>
                <w:highlight w:val="none"/>
                <w:lang w:eastAsia="zh-CN"/>
              </w:rPr>
              <w:sym w:font="Wingdings 2" w:char="0052"/>
            </w:r>
            <w:r>
              <w:rPr>
                <w:rFonts w:hint="eastAsia"/>
                <w:color w:val="auto"/>
                <w:highlight w:val="none"/>
              </w:rPr>
              <w:t>接收准则</w:t>
            </w:r>
            <w:r>
              <w:rPr>
                <w:rFonts w:hint="eastAsia" w:ascii="Wingdings" w:hAnsi="Wingdings"/>
                <w:color w:val="auto"/>
                <w:lang w:eastAsia="zh-CN"/>
              </w:rPr>
              <w:sym w:font="Wingdings 2" w:char="0052"/>
            </w:r>
            <w:r>
              <w:rPr>
                <w:rFonts w:hint="eastAsia"/>
                <w:color w:val="auto"/>
              </w:rPr>
              <w:t>工艺流程图</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bookmarkStart w:id="34" w:name="_GoBack"/>
            <w:bookmarkEnd w:id="34"/>
          </w:p>
          <w:p>
            <w:pPr>
              <w:shd w:val="clear" w:color="auto" w:fill="EBF1DE" w:themeFill="accent3" w:themeFillTint="32"/>
            </w:pPr>
            <w:r>
              <w:rPr>
                <w:rFonts w:hint="eastAsia"/>
              </w:rPr>
              <w:t>审核期间内，设计和开发新产品/项目名称：</w:t>
            </w:r>
            <w:r>
              <w:rPr>
                <w:rFonts w:hint="eastAsia"/>
                <w:color w:val="000000"/>
                <w:szCs w:val="18"/>
                <w:highlight w:val="yellow"/>
                <w:u w:val="single"/>
                <w:lang w:val="en-US" w:eastAsia="zh-CN"/>
              </w:rPr>
              <w:t>无</w:t>
            </w:r>
            <w:r>
              <w:rPr>
                <w:rFonts w:hint="eastAsia"/>
                <w:highlight w:val="none"/>
                <w:u w:val="single"/>
              </w:rPr>
              <w:t>（</w:t>
            </w:r>
            <w:r>
              <w:rPr>
                <w:rFonts w:hint="eastAsia"/>
                <w:highlight w:val="none"/>
              </w:rPr>
              <w:t>举1例）</w:t>
            </w:r>
          </w:p>
          <w:p>
            <w:pPr>
              <w:shd w:val="clear" w:color="auto" w:fill="EBF1DE" w:themeFill="accent3" w:themeFillTint="32"/>
            </w:pPr>
            <w:r>
              <w:rPr>
                <w:rFonts w:hint="eastAsia"/>
              </w:rPr>
              <w:t>对该设计和开发的项目</w:t>
            </w:r>
            <w:r>
              <w:rPr>
                <w:rFonts w:hint="eastAsia"/>
                <w:lang w:val="en-US" w:eastAsia="zh-CN"/>
              </w:rPr>
              <w:t>未</w:t>
            </w:r>
            <w:r>
              <w:rPr>
                <w:rFonts w:hint="eastAsia"/>
              </w:rPr>
              <w:t>进行节能评估</w:t>
            </w:r>
            <w:r>
              <w:rPr>
                <w:rFonts w:hint="eastAsia"/>
                <w:lang w:eastAsia="zh-CN"/>
              </w:rPr>
              <w:t>（</w:t>
            </w:r>
            <w:r>
              <w:rPr>
                <w:rFonts w:hint="eastAsia"/>
                <w:lang w:val="en-US" w:eastAsia="zh-CN"/>
              </w:rPr>
              <w:t>不符合节能评估的条件</w:t>
            </w:r>
            <w:r>
              <w:rPr>
                <w:rFonts w:hint="eastAsia"/>
                <w:lang w:eastAsia="zh-CN"/>
              </w:rPr>
              <w:t>）</w:t>
            </w:r>
            <w:r>
              <w:rPr>
                <w:rFonts w:hint="eastAsia"/>
              </w:rPr>
              <w:t>，并制订了相应的控制措施。</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52"/>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highlight w:val="none"/>
                    </w:rPr>
                    <w:t>天然气消耗</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加强节电管理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rPr>
                    <w:t>其他</w:t>
                  </w:r>
                  <w:r>
                    <w:rPr>
                      <w:rFonts w:hint="eastAsia"/>
                      <w:lang w:eastAsia="zh-CN"/>
                    </w:rPr>
                    <w:t>——</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default" w:eastAsia="宋体"/>
                      <w:lang w:val="en-US" w:eastAsia="zh-CN"/>
                    </w:rPr>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定期（每年）：</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36</w:t>
            </w:r>
            <w:r>
              <w:rPr>
                <w:rFonts w:hint="eastAsia"/>
                <w:highlight w:val="none"/>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其他</w:t>
            </w:r>
          </w:p>
          <w:p>
            <w:pPr>
              <w:shd w:val="clear" w:color="auto" w:fill="EBF1DE" w:themeFill="accent3" w:themeFillTint="32"/>
            </w:pPr>
          </w:p>
          <w:p>
            <w:pPr>
              <w:rPr>
                <w:rFonts w:hint="default" w:eastAsia="宋体"/>
                <w:color w:val="000000"/>
                <w:szCs w:val="18"/>
                <w:lang w:val="en-US" w:eastAsia="zh-CN"/>
              </w:rPr>
            </w:pPr>
            <w:r>
              <w:rPr>
                <w:rFonts w:hint="eastAsia"/>
              </w:rPr>
              <w:t>《能效测试报告》编号：</w:t>
            </w:r>
            <w:r>
              <w:rPr>
                <w:rFonts w:hint="eastAsia"/>
                <w:lang w:val="en-US" w:eastAsia="zh-CN"/>
              </w:rPr>
              <w:t>企业</w:t>
            </w:r>
            <w:r>
              <w:rPr>
                <w:rFonts w:hint="eastAsia"/>
                <w:color w:val="000000"/>
                <w:szCs w:val="18"/>
                <w:lang w:val="en-US" w:eastAsia="zh-CN"/>
              </w:rPr>
              <w:t>未开展能效测试，已沟通。</w:t>
            </w:r>
          </w:p>
          <w:p>
            <w:pPr>
              <w:shd w:val="clear" w:color="auto" w:fill="EBF1DE" w:themeFill="accent3" w:themeFillTint="32"/>
              <w:rPr>
                <w:rFonts w:hint="default"/>
                <w:lang w:val="en-US" w:eastAsia="zh-CN"/>
              </w:rPr>
            </w:pP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eastAsia="zh-CN"/>
              </w:rPr>
              <w:sym w:font="Wingdings 2" w:char="00A3"/>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r>
              <w:rPr>
                <w:rFonts w:hint="eastAsia"/>
                <w:lang w:val="en-US" w:eastAsia="zh-CN"/>
              </w:rPr>
              <w:t>建议企业结合实际适时开展。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highlight w:val="none"/>
                <w:lang w:val="en-US" w:eastAsia="zh-CN"/>
              </w:rPr>
              <w:t>12</w:t>
            </w:r>
            <w:r>
              <w:rPr>
                <w:rFonts w:hint="eastAsia"/>
                <w:highlight w:val="none"/>
              </w:rPr>
              <w:t>月</w:t>
            </w:r>
            <w:r>
              <w:rPr>
                <w:rFonts w:hint="eastAsia"/>
                <w:highlight w:val="none"/>
                <w:lang w:val="en-US" w:eastAsia="zh-CN"/>
              </w:rPr>
              <w:t>5-6</w:t>
            </w:r>
            <w:r>
              <w:rPr>
                <w:rFonts w:hint="eastAsia"/>
                <w:highlight w:val="none"/>
              </w:rPr>
              <w:t>日</w:t>
            </w:r>
            <w:r>
              <w:rPr>
                <w:rFonts w:hint="eastAsia"/>
              </w:rPr>
              <w:t>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52"/>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highlight w:val="none"/>
                <w:lang w:val="en-US" w:eastAsia="zh-CN"/>
              </w:rPr>
              <w:t>12</w:t>
            </w:r>
            <w:r>
              <w:rPr>
                <w:rFonts w:hint="eastAsia"/>
                <w:highlight w:val="none"/>
              </w:rPr>
              <w:t>月</w:t>
            </w:r>
            <w:r>
              <w:rPr>
                <w:rFonts w:hint="eastAsia"/>
                <w:highlight w:val="none"/>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10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33"/>
        <w:gridCol w:w="504"/>
        <w:gridCol w:w="1176"/>
        <w:gridCol w:w="810"/>
        <w:gridCol w:w="830"/>
        <w:gridCol w:w="855"/>
        <w:gridCol w:w="779"/>
        <w:gridCol w:w="780"/>
        <w:gridCol w:w="552"/>
        <w:gridCol w:w="55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50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1176"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552"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554"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105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50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176"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5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5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5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yellow"/>
                <w:lang w:val="en-US" w:eastAsia="zh-CN" w:bidi="ar-SA"/>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504" w:type="dxa"/>
            <w:shd w:val="clear" w:color="auto" w:fill="EBF1DE" w:themeFill="accent3" w:themeFillTint="32"/>
            <w:vAlign w:val="center"/>
          </w:tcPr>
          <w:p>
            <w:pPr>
              <w:shd w:val="clear" w:color="auto" w:fill="EBF1DE" w:themeFill="accent3" w:themeFillTint="32"/>
              <w:rPr>
                <w:lang w:eastAsia="ja-JP"/>
              </w:rPr>
            </w:pPr>
          </w:p>
        </w:tc>
        <w:tc>
          <w:tcPr>
            <w:tcW w:w="1176"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52" w:type="dxa"/>
            <w:shd w:val="clear" w:color="auto" w:fill="EBF1DE" w:themeFill="accent3" w:themeFillTint="32"/>
            <w:vAlign w:val="center"/>
          </w:tcPr>
          <w:p>
            <w:pPr>
              <w:shd w:val="clear" w:color="auto" w:fill="EBF1DE" w:themeFill="accent3" w:themeFillTint="32"/>
              <w:rPr>
                <w:lang w:eastAsia="ja-JP"/>
              </w:rPr>
            </w:pPr>
          </w:p>
        </w:tc>
        <w:tc>
          <w:tcPr>
            <w:tcW w:w="554" w:type="dxa"/>
            <w:shd w:val="clear" w:color="auto" w:fill="EBF1DE" w:themeFill="accent3" w:themeFillTint="32"/>
            <w:vAlign w:val="center"/>
          </w:tcPr>
          <w:p>
            <w:pPr>
              <w:shd w:val="clear" w:color="auto" w:fill="EBF1DE" w:themeFill="accent3" w:themeFillTint="32"/>
              <w:rPr>
                <w:lang w:eastAsia="ja-JP"/>
              </w:rPr>
            </w:pPr>
          </w:p>
        </w:tc>
        <w:tc>
          <w:tcPr>
            <w:tcW w:w="1050" w:type="dxa"/>
            <w:shd w:val="clear" w:color="auto" w:fill="EBF1DE" w:themeFill="accent3" w:themeFillTint="32"/>
            <w:vAlign w:val="center"/>
          </w:tcPr>
          <w:p>
            <w:pPr>
              <w:shd w:val="clear" w:color="auto" w:fill="EBF1DE" w:themeFill="accent3" w:themeFillTint="32"/>
              <w:rPr>
                <w:rFonts w:hint="default" w:ascii="Times New Roman" w:hAnsi="Times New Roman" w:eastAsia="宋体" w:cs="Times New Roman"/>
                <w:kern w:val="2"/>
                <w:sz w:val="21"/>
                <w:szCs w:val="24"/>
                <w:highlight w:val="yellow"/>
                <w:lang w:val="en-US" w:eastAsia="zh-CN" w:bidi="ar-SA"/>
              </w:rPr>
            </w:pPr>
            <w:r>
              <w:rPr>
                <w:rFonts w:hint="eastAsia" w:ascii="Times New Roman" w:hAnsi="Times New Roman" w:eastAsia="宋体" w:cs="Times New Roman"/>
                <w:kern w:val="2"/>
                <w:sz w:val="21"/>
                <w:szCs w:val="24"/>
                <w:highlight w:val="none"/>
                <w:lang w:val="en-US" w:eastAsia="zh-CN" w:bidi="ar-SA"/>
              </w:rPr>
              <w:t>1（合并）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504"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1176"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55"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552" w:type="dxa"/>
            <w:shd w:val="clear" w:color="auto" w:fill="EBF1DE" w:themeFill="accent3" w:themeFillTint="32"/>
            <w:vAlign w:val="center"/>
          </w:tcPr>
          <w:p>
            <w:pPr>
              <w:shd w:val="clear" w:color="auto" w:fill="EBF1DE" w:themeFill="accent3" w:themeFillTint="32"/>
            </w:pPr>
            <w:r>
              <w:rPr>
                <w:rFonts w:hint="eastAsia"/>
              </w:rPr>
              <w:t>7.5</w:t>
            </w:r>
          </w:p>
        </w:tc>
        <w:tc>
          <w:tcPr>
            <w:tcW w:w="554"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105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50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176"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52"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5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05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504" w:type="dxa"/>
            <w:shd w:val="clear" w:color="auto" w:fill="EBF1DE" w:themeFill="accent3" w:themeFillTint="32"/>
            <w:vAlign w:val="center"/>
          </w:tcPr>
          <w:p>
            <w:pPr>
              <w:shd w:val="clear" w:color="auto" w:fill="EBF1DE" w:themeFill="accent3" w:themeFillTint="32"/>
            </w:pPr>
          </w:p>
        </w:tc>
        <w:tc>
          <w:tcPr>
            <w:tcW w:w="1176"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1（合并）</w:t>
            </w: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52" w:type="dxa"/>
            <w:shd w:val="clear" w:color="auto" w:fill="EBF1DE" w:themeFill="accent3" w:themeFillTint="32"/>
            <w:vAlign w:val="center"/>
          </w:tcPr>
          <w:p>
            <w:pPr>
              <w:shd w:val="clear" w:color="auto" w:fill="EBF1DE" w:themeFill="accent3" w:themeFillTint="32"/>
              <w:rPr>
                <w:lang w:eastAsia="ja-JP"/>
              </w:rPr>
            </w:pPr>
          </w:p>
        </w:tc>
        <w:tc>
          <w:tcPr>
            <w:tcW w:w="554" w:type="dxa"/>
            <w:shd w:val="clear" w:color="auto" w:fill="EBF1DE" w:themeFill="accent3" w:themeFillTint="32"/>
            <w:vAlign w:val="center"/>
          </w:tcPr>
          <w:p>
            <w:pPr>
              <w:shd w:val="clear" w:color="auto" w:fill="EBF1DE" w:themeFill="accent3" w:themeFillTint="32"/>
              <w:rPr>
                <w:lang w:eastAsia="ja-JP"/>
              </w:rPr>
            </w:pPr>
          </w:p>
        </w:tc>
        <w:tc>
          <w:tcPr>
            <w:tcW w:w="10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504" w:type="dxa"/>
            <w:shd w:val="clear" w:color="auto" w:fill="EBF1DE" w:themeFill="accent3" w:themeFillTint="32"/>
            <w:vAlign w:val="center"/>
          </w:tcPr>
          <w:p>
            <w:pPr>
              <w:shd w:val="clear" w:color="auto" w:fill="EBF1DE" w:themeFill="accent3" w:themeFillTint="32"/>
            </w:pPr>
            <w:r>
              <w:rPr>
                <w:rFonts w:hint="eastAsia"/>
              </w:rPr>
              <w:t>8.3</w:t>
            </w:r>
          </w:p>
        </w:tc>
        <w:tc>
          <w:tcPr>
            <w:tcW w:w="1176"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10"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3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rPr>
              <w:t>10</w:t>
            </w: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552" w:type="dxa"/>
            <w:shd w:val="clear" w:color="auto" w:fill="EBF1DE" w:themeFill="accent3" w:themeFillTint="32"/>
            <w:vAlign w:val="center"/>
          </w:tcPr>
          <w:p>
            <w:pPr>
              <w:shd w:val="clear" w:color="auto" w:fill="EBF1DE" w:themeFill="accent3" w:themeFillTint="32"/>
              <w:rPr>
                <w:lang w:eastAsia="ja-JP"/>
              </w:rPr>
            </w:pPr>
          </w:p>
        </w:tc>
        <w:tc>
          <w:tcPr>
            <w:tcW w:w="554" w:type="dxa"/>
            <w:shd w:val="clear" w:color="auto" w:fill="EBF1DE" w:themeFill="accent3" w:themeFillTint="32"/>
            <w:vAlign w:val="center"/>
          </w:tcPr>
          <w:p>
            <w:pPr>
              <w:shd w:val="clear" w:color="auto" w:fill="EBF1DE" w:themeFill="accent3" w:themeFillTint="32"/>
              <w:rPr>
                <w:lang w:eastAsia="ja-JP"/>
              </w:rPr>
            </w:pPr>
          </w:p>
        </w:tc>
        <w:tc>
          <w:tcPr>
            <w:tcW w:w="10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50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1176"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1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552" w:type="dxa"/>
            <w:shd w:val="clear" w:color="auto" w:fill="EBF1DE" w:themeFill="accent3" w:themeFillTint="32"/>
            <w:vAlign w:val="center"/>
          </w:tcPr>
          <w:p>
            <w:pPr>
              <w:shd w:val="clear" w:color="auto" w:fill="EBF1DE" w:themeFill="accent3" w:themeFillTint="32"/>
              <w:rPr>
                <w:lang w:eastAsia="ja-JP"/>
              </w:rPr>
            </w:pPr>
          </w:p>
        </w:tc>
        <w:tc>
          <w:tcPr>
            <w:tcW w:w="554" w:type="dxa"/>
            <w:shd w:val="clear" w:color="auto" w:fill="EBF1DE" w:themeFill="accent3" w:themeFillTint="32"/>
            <w:vAlign w:val="center"/>
          </w:tcPr>
          <w:p>
            <w:pPr>
              <w:shd w:val="clear" w:color="auto" w:fill="EBF1DE" w:themeFill="accent3" w:themeFillTint="32"/>
              <w:rPr>
                <w:lang w:eastAsia="ja-JP"/>
              </w:rPr>
            </w:pPr>
          </w:p>
        </w:tc>
        <w:tc>
          <w:tcPr>
            <w:tcW w:w="105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504" w:type="dxa"/>
            <w:shd w:val="clear" w:color="auto" w:fill="EBF1DE" w:themeFill="accent3" w:themeFillTint="32"/>
            <w:vAlign w:val="center"/>
          </w:tcPr>
          <w:p>
            <w:pPr>
              <w:shd w:val="clear" w:color="auto" w:fill="EBF1DE" w:themeFill="accent3" w:themeFillTint="32"/>
              <w:rPr>
                <w:lang w:eastAsia="ja-JP"/>
              </w:rPr>
            </w:pPr>
          </w:p>
        </w:tc>
        <w:tc>
          <w:tcPr>
            <w:tcW w:w="1176" w:type="dxa"/>
            <w:shd w:val="clear" w:color="auto" w:fill="EBF1DE" w:themeFill="accent3" w:themeFillTint="32"/>
          </w:tcPr>
          <w:p>
            <w:pPr>
              <w:shd w:val="clear" w:color="auto" w:fill="EBF1DE" w:themeFill="accent3" w:themeFillTint="32"/>
              <w:rPr>
                <w:lang w:eastAsia="ja-JP"/>
              </w:rPr>
            </w:pPr>
          </w:p>
        </w:tc>
        <w:tc>
          <w:tcPr>
            <w:tcW w:w="810" w:type="dxa"/>
            <w:shd w:val="clear" w:color="auto" w:fill="EBF1DE" w:themeFill="accent3" w:themeFillTint="32"/>
            <w:vAlign w:val="center"/>
          </w:tcPr>
          <w:p>
            <w:pPr>
              <w:shd w:val="clear" w:color="auto" w:fill="EBF1DE" w:themeFill="accent3" w:themeFillTint="32"/>
              <w:rPr>
                <w:lang w:eastAsia="ja-JP"/>
              </w:rPr>
            </w:pPr>
          </w:p>
        </w:tc>
        <w:tc>
          <w:tcPr>
            <w:tcW w:w="830" w:type="dxa"/>
            <w:shd w:val="clear" w:color="auto" w:fill="EBF1DE" w:themeFill="accent3" w:themeFillTint="32"/>
            <w:vAlign w:val="center"/>
          </w:tcPr>
          <w:p>
            <w:pPr>
              <w:shd w:val="clear" w:color="auto" w:fill="EBF1DE" w:themeFill="accent3" w:themeFillTint="32"/>
              <w:rPr>
                <w:lang w:eastAsia="ja-JP"/>
              </w:rPr>
            </w:pPr>
          </w:p>
        </w:tc>
        <w:tc>
          <w:tcPr>
            <w:tcW w:w="855" w:type="dxa"/>
            <w:shd w:val="clear" w:color="auto" w:fill="EBF1DE" w:themeFill="accent3" w:themeFillTint="32"/>
            <w:vAlign w:val="center"/>
          </w:tcPr>
          <w:p>
            <w:pPr>
              <w:shd w:val="clear" w:color="auto" w:fill="EBF1DE" w:themeFill="accent3" w:themeFillTint="32"/>
              <w:rPr>
                <w:rFonts w:hint="default" w:eastAsia="宋体"/>
                <w:highlight w:val="yellow"/>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52" w:type="dxa"/>
            <w:shd w:val="clear" w:color="auto" w:fill="EBF1DE" w:themeFill="accent3" w:themeFillTint="32"/>
            <w:vAlign w:val="center"/>
          </w:tcPr>
          <w:p>
            <w:pPr>
              <w:shd w:val="clear" w:color="auto" w:fill="EBF1DE" w:themeFill="accent3" w:themeFillTint="32"/>
              <w:rPr>
                <w:lang w:eastAsia="ja-JP"/>
              </w:rPr>
            </w:pPr>
          </w:p>
        </w:tc>
        <w:tc>
          <w:tcPr>
            <w:tcW w:w="554" w:type="dxa"/>
            <w:shd w:val="clear" w:color="auto" w:fill="EBF1DE" w:themeFill="accent3" w:themeFillTint="32"/>
            <w:vAlign w:val="center"/>
          </w:tcPr>
          <w:p>
            <w:pPr>
              <w:shd w:val="clear" w:color="auto" w:fill="EBF1DE" w:themeFill="accent3" w:themeFillTint="32"/>
              <w:rPr>
                <w:lang w:eastAsia="ja-JP"/>
              </w:rPr>
            </w:pPr>
          </w:p>
        </w:tc>
        <w:tc>
          <w:tcPr>
            <w:tcW w:w="105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2D174E6"/>
    <w:multiLevelType w:val="singleLevel"/>
    <w:tmpl w:val="32D174E6"/>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BB61698"/>
    <w:rsid w:val="33E471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1"/>
      </w:numPr>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10</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2023-01-09T07:42:56Z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