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bookmarkStart w:id="0" w:name="_GoBack"/>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6"/>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306" w:type="dxa"/>
            <w:vAlign w:val="center"/>
          </w:tcPr>
          <w:p>
            <w:pPr>
              <w:spacing w:before="120"/>
              <w:jc w:val="left"/>
              <w:rPr>
                <w:rFonts w:hint="default"/>
                <w:color w:val="auto"/>
                <w:sz w:val="24"/>
                <w:szCs w:val="24"/>
                <w:lang w:val="en-US"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val="en-US" w:eastAsia="zh-CN"/>
              </w:rPr>
              <w:t xml:space="preserve">龙继承           </w:t>
            </w:r>
            <w:r>
              <w:rPr>
                <w:rFonts w:hint="eastAsia"/>
                <w:color w:val="auto"/>
                <w:sz w:val="24"/>
                <w:szCs w:val="24"/>
              </w:rPr>
              <w:t>陪同人员：</w:t>
            </w:r>
            <w:r>
              <w:rPr>
                <w:rFonts w:hint="eastAsia"/>
                <w:color w:val="auto"/>
                <w:sz w:val="24"/>
                <w:szCs w:val="24"/>
                <w:lang w:val="en-US" w:eastAsia="zh-CN"/>
              </w:rPr>
              <w:t>陶艳辉</w:t>
            </w:r>
          </w:p>
        </w:tc>
        <w:tc>
          <w:tcPr>
            <w:tcW w:w="1283"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306" w:type="dxa"/>
            <w:vAlign w:val="center"/>
          </w:tcPr>
          <w:p>
            <w:pPr>
              <w:spacing w:before="120"/>
              <w:jc w:val="left"/>
              <w:rPr>
                <w:rFonts w:hint="default"/>
                <w:color w:val="auto"/>
                <w:sz w:val="24"/>
                <w:szCs w:val="24"/>
                <w:lang w:val="en-US" w:eastAsia="zh-CN"/>
              </w:rPr>
            </w:pPr>
            <w:r>
              <w:rPr>
                <w:rFonts w:hint="eastAsia"/>
                <w:color w:val="auto"/>
                <w:sz w:val="24"/>
                <w:szCs w:val="24"/>
              </w:rPr>
              <w:t>审核员：</w:t>
            </w:r>
            <w:r>
              <w:rPr>
                <w:rFonts w:hint="eastAsia"/>
                <w:color w:val="auto"/>
                <w:sz w:val="24"/>
                <w:szCs w:val="24"/>
                <w:lang w:val="en-US" w:eastAsia="zh-CN"/>
              </w:rPr>
              <w:t xml:space="preserve">冉景洲            </w:t>
            </w:r>
            <w:r>
              <w:rPr>
                <w:rFonts w:hint="eastAsia"/>
                <w:color w:val="auto"/>
                <w:sz w:val="24"/>
                <w:szCs w:val="24"/>
              </w:rPr>
              <w:t>审核时间：</w:t>
            </w:r>
            <w:r>
              <w:rPr>
                <w:rFonts w:hint="eastAsia"/>
                <w:color w:val="auto"/>
                <w:sz w:val="24"/>
                <w:szCs w:val="24"/>
                <w:lang w:val="en-US" w:eastAsia="zh-CN"/>
              </w:rPr>
              <w:t>2023年1月10日</w:t>
            </w:r>
          </w:p>
        </w:tc>
        <w:tc>
          <w:tcPr>
            <w:tcW w:w="128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306" w:type="dxa"/>
            <w:vAlign w:val="center"/>
          </w:tcPr>
          <w:p>
            <w:pPr>
              <w:pStyle w:val="2"/>
              <w:rPr>
                <w:rFonts w:hint="eastAsia"/>
                <w:color w:val="auto"/>
                <w:sz w:val="24"/>
                <w:szCs w:val="24"/>
              </w:rPr>
            </w:pPr>
            <w:r>
              <w:rPr>
                <w:rFonts w:hint="eastAsia"/>
                <w:color w:val="auto"/>
                <w:sz w:val="24"/>
                <w:szCs w:val="24"/>
              </w:rPr>
              <w:t>审核条款：</w:t>
            </w:r>
          </w:p>
          <w:p>
            <w:pPr>
              <w:pStyle w:val="2"/>
              <w:rPr>
                <w:rFonts w:hint="eastAsia" w:ascii="宋体" w:hAnsi="宋体" w:cs="Times New Roman"/>
                <w:color w:val="auto"/>
                <w:sz w:val="21"/>
                <w:szCs w:val="21"/>
                <w:lang w:eastAsia="zh-CN"/>
              </w:rPr>
            </w:pPr>
            <w:r>
              <w:rPr>
                <w:rFonts w:hint="eastAsia" w:ascii="宋体" w:hAnsi="宋体" w:cs="Times New Roman"/>
                <w:color w:val="auto"/>
                <w:sz w:val="21"/>
                <w:szCs w:val="21"/>
              </w:rPr>
              <w:t>4.1组织及其环境;4.2相关方需求与期望;4.3确定体系范围;4.4体系;5.1领导作用与承诺;5.2方针;5.3组织的角色、职责和权限；6.1</w:t>
            </w:r>
            <w:r>
              <w:rPr>
                <w:rFonts w:hint="eastAsia" w:ascii="宋体" w:hAnsi="宋体" w:cs="宋体"/>
                <w:color w:val="auto"/>
                <w:sz w:val="21"/>
                <w:szCs w:val="21"/>
              </w:rPr>
              <w:t>应对风险和机遇的措施</w:t>
            </w:r>
            <w:r>
              <w:rPr>
                <w:rFonts w:hint="eastAsia" w:ascii="宋体" w:hAnsi="宋体" w:cs="Times New Roman"/>
                <w:color w:val="auto"/>
                <w:sz w:val="21"/>
                <w:szCs w:val="21"/>
              </w:rPr>
              <w:t>；6.1.4措施的策划；6.2目标及其实现的策划；9.1.1监测、分析和评估总则；9.2内部审核；9.3管理评审；10.1改进 总则；10.3持续改进</w:t>
            </w:r>
            <w:r>
              <w:rPr>
                <w:rFonts w:hint="eastAsia" w:ascii="宋体" w:hAnsi="宋体" w:cs="Times New Roman"/>
                <w:color w:val="auto"/>
                <w:sz w:val="21"/>
                <w:szCs w:val="21"/>
                <w:lang w:eastAsia="zh-CN"/>
              </w:rPr>
              <w:t>；</w:t>
            </w:r>
          </w:p>
          <w:p>
            <w:pPr>
              <w:rPr>
                <w:color w:val="auto"/>
                <w:sz w:val="24"/>
                <w:szCs w:val="24"/>
              </w:rPr>
            </w:pPr>
            <w:r>
              <w:rPr>
                <w:rFonts w:hint="eastAsia" w:ascii="宋体" w:hAnsi="宋体" w:cs="新宋体"/>
                <w:color w:val="auto"/>
                <w:sz w:val="21"/>
                <w:szCs w:val="21"/>
              </w:rPr>
              <w:t>资</w:t>
            </w:r>
            <w:r>
              <w:rPr>
                <w:rFonts w:hint="eastAsia" w:ascii="宋体" w:hAnsi="宋体" w:eastAsia="宋体" w:cs="新宋体"/>
                <w:color w:val="auto"/>
                <w:sz w:val="21"/>
                <w:szCs w:val="21"/>
              </w:rPr>
              <w:t>质的确认、管理体系变化情况</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rPr>
              <w:t>标准/规范/法规的执行情况、认证证书、标志的使用情况、投诉或事故、监督抽查情况</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rPr>
              <w:t>上次审核不符合项</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lang w:val="en-US" w:eastAsia="zh-CN"/>
              </w:rPr>
              <w:t>综合部7.2条款</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rPr>
              <w:t>的验证</w:t>
            </w:r>
            <w:r>
              <w:rPr>
                <w:rFonts w:hint="eastAsia" w:ascii="宋体" w:hAnsi="宋体" w:eastAsia="宋体" w:cs="新宋体"/>
                <w:color w:val="auto"/>
                <w:sz w:val="21"/>
                <w:szCs w:val="21"/>
                <w:lang w:val="en-US" w:eastAsia="zh-CN"/>
              </w:rPr>
              <w:t>情况。</w:t>
            </w:r>
          </w:p>
        </w:tc>
        <w:tc>
          <w:tcPr>
            <w:tcW w:w="128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Lines w:val="0"/>
              <w:pageBreakBefore w:val="0"/>
              <w:kinsoku/>
              <w:wordWrap/>
              <w:overflowPunct/>
              <w:topLinePunct w:val="0"/>
              <w:autoSpaceDE/>
              <w:autoSpaceDN/>
              <w:bidi w:val="0"/>
              <w:spacing w:line="312" w:lineRule="auto"/>
              <w:rPr>
                <w:rFonts w:ascii="Times New Roman" w:hAnsi="Times New Roman" w:eastAsia="宋体" w:cs="Times New Roman"/>
                <w:b w:val="0"/>
                <w:bCs w:val="0"/>
                <w:color w:val="auto"/>
                <w:kern w:val="2"/>
                <w:sz w:val="21"/>
                <w:szCs w:val="21"/>
                <w:lang w:val="en-US" w:eastAsia="zh-CN" w:bidi="ar-SA"/>
              </w:rPr>
            </w:pPr>
            <w:r>
              <w:rPr>
                <w:rFonts w:hint="eastAsia" w:ascii="宋体" w:hAnsi="宋体" w:cs="新宋体"/>
                <w:b w:val="0"/>
                <w:bCs w:val="0"/>
                <w:color w:val="auto"/>
                <w:sz w:val="21"/>
                <w:szCs w:val="21"/>
                <w:highlight w:val="none"/>
              </w:rPr>
              <w:t>证书恢复确认</w:t>
            </w:r>
          </w:p>
        </w:tc>
        <w:tc>
          <w:tcPr>
            <w:tcW w:w="960" w:type="dxa"/>
            <w:vAlign w:val="center"/>
          </w:tcPr>
          <w:p>
            <w:pPr>
              <w:keepLines w:val="0"/>
              <w:pageBreakBefore w:val="0"/>
              <w:kinsoku/>
              <w:wordWrap/>
              <w:overflowPunct/>
              <w:topLinePunct w:val="0"/>
              <w:autoSpaceDE/>
              <w:autoSpaceDN/>
              <w:bidi w:val="0"/>
              <w:spacing w:line="312" w:lineRule="auto"/>
              <w:rPr>
                <w:rFonts w:ascii="Times New Roman" w:hAnsi="Times New Roman" w:eastAsia="宋体" w:cs="Times New Roman"/>
                <w:b w:val="0"/>
                <w:bCs w:val="0"/>
                <w:color w:val="auto"/>
                <w:kern w:val="2"/>
                <w:sz w:val="21"/>
                <w:szCs w:val="21"/>
                <w:lang w:val="en-US" w:eastAsia="zh-CN" w:bidi="ar-SA"/>
              </w:rPr>
            </w:pPr>
          </w:p>
        </w:tc>
        <w:tc>
          <w:tcPr>
            <w:tcW w:w="10306" w:type="dxa"/>
            <w:vAlign w:val="center"/>
          </w:tcPr>
          <w:p>
            <w:pPr>
              <w:keepNext w:val="0"/>
              <w:keepLines w:val="0"/>
              <w:pageBreakBefore w:val="0"/>
              <w:kinsoku/>
              <w:wordWrap/>
              <w:overflowPunct/>
              <w:topLinePunct w:val="0"/>
              <w:autoSpaceDE/>
              <w:autoSpaceDN/>
              <w:bidi w:val="0"/>
              <w:spacing w:line="312" w:lineRule="auto"/>
              <w:ind w:firstLine="420" w:firstLineChars="20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在审核现场与企业负责人龙继承总经理对应：了解到企业质量管理体系证书暂停期间，管理体系运行正常，体系认证范围无变更。 企业在证书暂停期间，未使用证书进行招投标的活动，未进行相关广告宣传。审核组决定恢复证书。确认人：冉景洲。详见暂停恢复确认表。</w:t>
            </w:r>
          </w:p>
        </w:tc>
        <w:tc>
          <w:tcPr>
            <w:tcW w:w="1283" w:type="dxa"/>
            <w:vAlign w:val="top"/>
          </w:tcPr>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宋体"/>
                <w:color w:val="auto"/>
                <w:szCs w:val="21"/>
              </w:rPr>
            </w:pPr>
            <w:r>
              <w:rPr>
                <w:rFonts w:hint="eastAsia" w:ascii="宋体" w:hAnsi="宋体" w:cs="宋体"/>
                <w:color w:val="auto"/>
                <w:szCs w:val="21"/>
              </w:rPr>
              <w:t>组织及其环境;</w:t>
            </w:r>
          </w:p>
          <w:p>
            <w:pPr>
              <w:rPr>
                <w:rFonts w:hint="eastAsia" w:ascii="宋体" w:hAnsi="宋体" w:cs="宋体"/>
                <w:color w:val="auto"/>
                <w:szCs w:val="21"/>
              </w:rPr>
            </w:pPr>
            <w:r>
              <w:rPr>
                <w:rFonts w:hint="eastAsia" w:ascii="宋体" w:hAnsi="宋体" w:cs="宋体"/>
                <w:color w:val="auto"/>
                <w:szCs w:val="21"/>
              </w:rPr>
              <w:t>相关方需求与期望;</w:t>
            </w:r>
          </w:p>
          <w:p>
            <w:pPr>
              <w:rPr>
                <w:rFonts w:hint="eastAsia" w:ascii="宋体" w:hAnsi="宋体" w:cs="宋体"/>
                <w:color w:val="auto"/>
                <w:szCs w:val="21"/>
              </w:rPr>
            </w:pPr>
            <w:r>
              <w:rPr>
                <w:rFonts w:hint="eastAsia" w:ascii="宋体" w:hAnsi="宋体" w:cs="宋体"/>
                <w:color w:val="auto"/>
                <w:szCs w:val="21"/>
              </w:rPr>
              <w:t>确定体系范围;</w:t>
            </w:r>
          </w:p>
          <w:p>
            <w:pPr>
              <w:rPr>
                <w:rFonts w:hint="eastAsia" w:ascii="宋体" w:hAnsi="宋体" w:cs="宋体"/>
                <w:color w:val="auto"/>
                <w:szCs w:val="21"/>
              </w:rPr>
            </w:pPr>
            <w:r>
              <w:rPr>
                <w:rFonts w:hint="eastAsia" w:ascii="宋体" w:hAnsi="宋体" w:cs="宋体"/>
                <w:color w:val="auto"/>
                <w:szCs w:val="21"/>
              </w:rPr>
              <w:t>体系及其过程;</w:t>
            </w:r>
          </w:p>
          <w:p>
            <w:pPr>
              <w:rPr>
                <w:rFonts w:hint="eastAsia" w:ascii="宋体" w:hAnsi="宋体" w:cs="宋体"/>
                <w:color w:val="auto"/>
                <w:szCs w:val="21"/>
              </w:rPr>
            </w:pPr>
            <w:r>
              <w:rPr>
                <w:rFonts w:hint="eastAsia" w:ascii="宋体" w:hAnsi="宋体" w:cs="宋体"/>
                <w:color w:val="auto"/>
                <w:szCs w:val="21"/>
              </w:rPr>
              <w:t>总要求</w:t>
            </w:r>
          </w:p>
          <w:p>
            <w:pPr>
              <w:rPr>
                <w:rFonts w:hint="eastAsia" w:ascii="宋体" w:hAnsi="宋体" w:cs="宋体"/>
                <w:color w:val="auto"/>
                <w:szCs w:val="21"/>
              </w:rPr>
            </w:pPr>
          </w:p>
          <w:p>
            <w:pPr>
              <w:adjustRightInd w:val="0"/>
              <w:snapToGrid w:val="0"/>
              <w:jc w:val="center"/>
              <w:rPr>
                <w:rFonts w:ascii="Times New Roman" w:hAnsi="Times New Roman" w:eastAsia="宋体" w:cs="Times New Roman"/>
                <w:color w:val="auto"/>
                <w:kern w:val="2"/>
                <w:sz w:val="21"/>
                <w:lang w:val="en-US" w:eastAsia="zh-CN" w:bidi="ar-SA"/>
              </w:rPr>
            </w:pPr>
          </w:p>
        </w:tc>
        <w:tc>
          <w:tcPr>
            <w:tcW w:w="960" w:type="dxa"/>
            <w:vAlign w:val="top"/>
          </w:tcPr>
          <w:p>
            <w:pPr>
              <w:adjustRightInd w:val="0"/>
              <w:snapToGrid w:val="0"/>
              <w:rPr>
                <w:rFonts w:hint="eastAsia" w:ascii="宋体" w:hAnsi="宋体" w:cs="宋体"/>
                <w:color w:val="auto"/>
                <w:kern w:val="1"/>
                <w:szCs w:val="21"/>
              </w:rPr>
            </w:pPr>
            <w:r>
              <w:rPr>
                <w:rFonts w:hint="eastAsia" w:ascii="宋体" w:hAnsi="宋体" w:cs="宋体"/>
                <w:color w:val="auto"/>
                <w:kern w:val="1"/>
                <w:szCs w:val="21"/>
              </w:rPr>
              <w:t>4.1;4.2;4.3;4.4</w:t>
            </w:r>
          </w:p>
          <w:p>
            <w:pPr>
              <w:adjustRightInd w:val="0"/>
              <w:snapToGrid w:val="0"/>
              <w:rPr>
                <w:rFonts w:ascii="Times New Roman" w:hAnsi="Times New Roman" w:eastAsia="宋体" w:cs="Times New Roman"/>
                <w:color w:val="auto"/>
                <w:kern w:val="2"/>
                <w:sz w:val="21"/>
                <w:lang w:val="en-US" w:eastAsia="zh-CN" w:bidi="ar-SA"/>
              </w:rPr>
            </w:pPr>
          </w:p>
        </w:tc>
        <w:tc>
          <w:tcPr>
            <w:tcW w:w="10306" w:type="dxa"/>
            <w:vAlign w:val="top"/>
          </w:tcPr>
          <w:p>
            <w:pPr>
              <w:pStyle w:val="4"/>
              <w:keepNext w:val="0"/>
              <w:keepLines w:val="0"/>
              <w:pageBreakBefore w:val="0"/>
              <w:kinsoku/>
              <w:wordWrap/>
              <w:overflowPunct/>
              <w:topLinePunct w:val="0"/>
              <w:autoSpaceDE/>
              <w:autoSpaceDN/>
              <w:bidi w:val="0"/>
              <w:spacing w:line="312" w:lineRule="auto"/>
              <w:ind w:firstLine="210" w:firstLineChars="100"/>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公司制定有《环境分析管理程序》，确定对公司有利的内外部环境因素有：公司全体员工的质量意识比较强，产品质量在同行业中比较领先。公司的设备和生产的技术水平比较先进。</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对公司不利的内、外部因素有：人员素质参差不齐，环保意识不强，对岗位环境因素认识不足，控制方法不明确；市场竞争非常激烈，产品</w:t>
            </w:r>
            <w:r>
              <w:rPr>
                <w:rFonts w:hint="eastAsia" w:ascii="宋体" w:hAnsi="宋体" w:eastAsia="宋体" w:cs="宋体"/>
                <w:color w:val="auto"/>
                <w:sz w:val="21"/>
                <w:szCs w:val="21"/>
                <w:lang w:val="en-US" w:eastAsia="zh-CN" w:bidi="ar"/>
              </w:rPr>
              <w:t>品质要求不断提高</w:t>
            </w:r>
            <w:r>
              <w:rPr>
                <w:rFonts w:hint="eastAsia" w:ascii="宋体" w:hAnsi="宋体" w:eastAsia="宋体" w:cs="宋体"/>
                <w:color w:val="auto"/>
                <w:sz w:val="21"/>
                <w:szCs w:val="21"/>
                <w:lang w:bidi="ar"/>
              </w:rPr>
              <w:t>。</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公司通过业内展会、同行交流、座谈会、每周工作例会、QQ、微信等进行内外部沟通，并定期进行评审，形成会议记录。</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抽查关于</w:t>
            </w:r>
            <w:r>
              <w:rPr>
                <w:rFonts w:hint="eastAsia" w:ascii="宋体" w:hAnsi="宋体" w:eastAsia="宋体" w:cs="宋体"/>
                <w:color w:val="auto"/>
                <w:sz w:val="21"/>
                <w:szCs w:val="21"/>
                <w:lang w:val="en-US" w:eastAsia="zh-CN" w:bidi="ar"/>
              </w:rPr>
              <w:t>2022年</w:t>
            </w:r>
            <w:r>
              <w:rPr>
                <w:rFonts w:hint="eastAsia" w:ascii="宋体" w:hAnsi="宋体" w:eastAsia="宋体" w:cs="宋体"/>
                <w:color w:val="auto"/>
                <w:sz w:val="21"/>
                <w:szCs w:val="21"/>
                <w:lang w:bidi="ar"/>
              </w:rPr>
              <w:t>内、外部环境评审记录2份，记录清晰。</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公司确定的相关方有员工、供应商、客户</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val="en-US" w:eastAsia="zh-CN" w:bidi="ar"/>
              </w:rPr>
              <w:t>政府机构</w:t>
            </w:r>
            <w:r>
              <w:rPr>
                <w:rFonts w:hint="eastAsia" w:ascii="宋体" w:hAnsi="宋体" w:eastAsia="宋体" w:cs="宋体"/>
                <w:color w:val="auto"/>
                <w:sz w:val="21"/>
                <w:szCs w:val="21"/>
                <w:lang w:bidi="ar"/>
              </w:rPr>
              <w:t>等。</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理解员工诉求的形式为谈心、茶话会等；理解</w:t>
            </w:r>
            <w:r>
              <w:rPr>
                <w:rFonts w:hint="eastAsia" w:ascii="宋体" w:hAnsi="宋体" w:eastAsia="宋体" w:cs="宋体"/>
                <w:color w:val="auto"/>
                <w:sz w:val="21"/>
                <w:szCs w:val="21"/>
                <w:lang w:val="en-US" w:eastAsia="zh-CN" w:bidi="ar"/>
              </w:rPr>
              <w:t>客户</w:t>
            </w:r>
            <w:r>
              <w:rPr>
                <w:rFonts w:hint="eastAsia" w:ascii="宋体" w:hAnsi="宋体" w:eastAsia="宋体" w:cs="宋体"/>
                <w:color w:val="auto"/>
                <w:sz w:val="21"/>
                <w:szCs w:val="21"/>
                <w:lang w:bidi="ar"/>
              </w:rPr>
              <w:t>等相关方的形式主要为电话沟通、上门拜访等；</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员工关注的主要问题有工资、待遇、晋升机制、福利等，供应商关注的主要问题是回款时间等。</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对相关方的要求的监视和评审的方法多样，通过QQ和微信等现代通讯手段是常用的便捷而又高效主要方法。</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公司</w:t>
            </w:r>
            <w:r>
              <w:rPr>
                <w:rFonts w:hint="eastAsia" w:ascii="宋体" w:hAnsi="宋体" w:eastAsia="宋体" w:cs="宋体"/>
                <w:color w:val="auto"/>
                <w:sz w:val="21"/>
                <w:szCs w:val="21"/>
                <w:lang w:val="en-US" w:eastAsia="zh-CN" w:bidi="ar"/>
              </w:rPr>
              <w:t>环境</w:t>
            </w:r>
            <w:r>
              <w:rPr>
                <w:rFonts w:hint="eastAsia" w:ascii="宋体" w:hAnsi="宋体" w:eastAsia="宋体" w:cs="宋体"/>
                <w:color w:val="auto"/>
                <w:sz w:val="21"/>
                <w:szCs w:val="21"/>
                <w:lang w:bidi="ar"/>
              </w:rPr>
              <w:t>管理体系的范围是：</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rPr>
              <w:t>木托盘、木箱、纸质包装制品、塑料制品、不干胶标签的销售所涉及场所的相关环境管理活动</w:t>
            </w:r>
            <w:r>
              <w:rPr>
                <w:rFonts w:hint="eastAsia" w:ascii="宋体" w:hAnsi="宋体" w:eastAsia="宋体" w:cs="宋体"/>
                <w:color w:val="auto"/>
                <w:sz w:val="21"/>
                <w:szCs w:val="21"/>
                <w:lang w:eastAsia="zh-CN" w:bidi="ar"/>
              </w:rPr>
              <w:t>。</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经识别，组织依据标准的要求建立、实施、维护</w:t>
            </w:r>
            <w:r>
              <w:rPr>
                <w:rFonts w:hint="eastAsia" w:ascii="宋体" w:hAnsi="宋体" w:eastAsia="宋体" w:cs="宋体"/>
                <w:color w:val="auto"/>
                <w:sz w:val="21"/>
                <w:szCs w:val="21"/>
                <w:lang w:val="en-US" w:eastAsia="zh-CN" w:bidi="ar"/>
              </w:rPr>
              <w:t>环境</w:t>
            </w:r>
            <w:r>
              <w:rPr>
                <w:rFonts w:hint="eastAsia" w:ascii="宋体" w:hAnsi="宋体" w:eastAsia="宋体" w:cs="宋体"/>
                <w:color w:val="auto"/>
                <w:sz w:val="21"/>
                <w:szCs w:val="21"/>
                <w:lang w:bidi="ar"/>
              </w:rPr>
              <w:t>管理体系，符合标准要求。</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bidi="ar"/>
              </w:rPr>
              <w:t>公司通过请咨询专家到公司来宣传、培训，建立了环境管理体系。组织制定</w:t>
            </w:r>
            <w:r>
              <w:rPr>
                <w:rFonts w:hint="eastAsia" w:ascii="宋体" w:hAnsi="宋体" w:eastAsia="宋体" w:cs="宋体"/>
                <w:color w:val="auto"/>
                <w:sz w:val="21"/>
                <w:szCs w:val="21"/>
                <w:lang w:eastAsia="zh-CN" w:bidi="ar"/>
              </w:rPr>
              <w:t>管理评审控制程序</w:t>
            </w:r>
            <w:r>
              <w:rPr>
                <w:rFonts w:hint="eastAsia" w:ascii="宋体" w:hAnsi="宋体" w:eastAsia="宋体" w:cs="宋体"/>
                <w:color w:val="auto"/>
                <w:sz w:val="21"/>
                <w:szCs w:val="21"/>
                <w:lang w:bidi="ar"/>
              </w:rPr>
              <w:t>，定期进行评审，必要时变更过程，以确保过程持续产生公司期望的结果。</w:t>
            </w:r>
          </w:p>
        </w:tc>
        <w:tc>
          <w:tcPr>
            <w:tcW w:w="1283"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160" w:type="dxa"/>
            <w:vAlign w:val="center"/>
          </w:tcPr>
          <w:p>
            <w:pPr>
              <w:spacing w:line="400" w:lineRule="exact"/>
              <w:rPr>
                <w:rFonts w:hint="eastAsia" w:eastAsia="宋体"/>
                <w:color w:val="auto"/>
                <w:lang w:eastAsia="zh-CN"/>
              </w:rPr>
            </w:pPr>
            <w:r>
              <w:rPr>
                <w:rFonts w:hint="eastAsia"/>
                <w:color w:val="auto"/>
                <w:lang w:eastAsia="zh-CN"/>
              </w:rPr>
              <w:t>领导的作用</w:t>
            </w:r>
          </w:p>
        </w:tc>
        <w:tc>
          <w:tcPr>
            <w:tcW w:w="960" w:type="dxa"/>
            <w:vAlign w:val="center"/>
          </w:tcPr>
          <w:p>
            <w:pPr>
              <w:rPr>
                <w:rFonts w:hint="default" w:eastAsia="宋体"/>
                <w:b/>
                <w:color w:val="auto"/>
                <w:lang w:val="en-US" w:eastAsia="zh-CN"/>
              </w:rPr>
            </w:pPr>
            <w:r>
              <w:rPr>
                <w:rFonts w:hint="eastAsia"/>
                <w:b/>
                <w:color w:val="auto"/>
                <w:lang w:val="en-US" w:eastAsia="zh-CN"/>
              </w:rPr>
              <w:t>5.1</w:t>
            </w:r>
          </w:p>
        </w:tc>
        <w:tc>
          <w:tcPr>
            <w:tcW w:w="10306" w:type="dxa"/>
            <w:vAlign w:val="top"/>
          </w:tcPr>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bidi="ar"/>
              </w:rPr>
              <w:t>总经</w:t>
            </w:r>
            <w:r>
              <w:rPr>
                <w:rFonts w:hint="eastAsia" w:ascii="宋体" w:hAnsi="宋体" w:eastAsia="宋体" w:cs="宋体"/>
                <w:color w:val="auto"/>
                <w:sz w:val="21"/>
                <w:szCs w:val="21"/>
                <w:highlight w:val="none"/>
                <w:lang w:bidi="ar"/>
              </w:rPr>
              <w:t>理：</w:t>
            </w:r>
            <w:r>
              <w:rPr>
                <w:rFonts w:hint="eastAsia" w:ascii="宋体" w:hAnsi="宋体" w:eastAsia="宋体" w:cs="宋体"/>
                <w:color w:val="auto"/>
                <w:sz w:val="21"/>
                <w:szCs w:val="21"/>
                <w:highlight w:val="none"/>
                <w:lang w:val="en-US" w:eastAsia="zh-CN" w:bidi="ar"/>
              </w:rPr>
              <w:t>龙继承</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 xml:space="preserve">      </w:t>
            </w:r>
            <w:r>
              <w:rPr>
                <w:rFonts w:hint="eastAsia" w:ascii="宋体" w:hAnsi="宋体" w:eastAsia="宋体" w:cs="宋体"/>
                <w:color w:val="auto"/>
                <w:sz w:val="21"/>
                <w:szCs w:val="21"/>
                <w:highlight w:val="none"/>
                <w:lang w:bidi="ar"/>
              </w:rPr>
              <w:t>管代：</w:t>
            </w:r>
            <w:r>
              <w:rPr>
                <w:rFonts w:hint="eastAsia" w:ascii="宋体" w:hAnsi="宋体" w:eastAsia="宋体" w:cs="宋体"/>
                <w:color w:val="auto"/>
                <w:sz w:val="21"/>
                <w:szCs w:val="21"/>
                <w:highlight w:val="none"/>
                <w:lang w:val="en-US" w:eastAsia="zh-CN" w:bidi="ar"/>
              </w:rPr>
              <w:t>陶艳辉</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通过与总经理交流：总经理从以下活动方式对公司建立、实施环境管理体系并持续改进其有效性所做出的承诺提供证据： </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2、制定和发布公司自身管理方针； </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3、确保管理目标的制定、分解落实到相关职能和部门，并激励员工为实现目标而努力； </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4、定期进行管理评审，以评价管理方针、管理目标的适宜性及实现情况，同时评价管理体系的适宜性、充分性和有效性。 </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5、为确保建立、运行和持续改进管理体系所需的一切资源得到满足，公司提供了信息、技术、人力、设备、环境和资金等必要资源。</w:t>
            </w:r>
          </w:p>
        </w:tc>
        <w:tc>
          <w:tcPr>
            <w:tcW w:w="128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color w:val="auto"/>
              </w:rPr>
            </w:pPr>
            <w:r>
              <w:rPr>
                <w:rFonts w:hint="eastAsia" w:ascii="宋体" w:hAnsi="宋体" w:cs="宋体"/>
                <w:color w:val="auto"/>
                <w:sz w:val="21"/>
                <w:szCs w:val="21"/>
              </w:rPr>
              <w:t>方针</w:t>
            </w:r>
          </w:p>
        </w:tc>
        <w:tc>
          <w:tcPr>
            <w:tcW w:w="960" w:type="dxa"/>
            <w:vAlign w:val="top"/>
          </w:tcPr>
          <w:p>
            <w:pPr>
              <w:jc w:val="both"/>
              <w:rPr>
                <w:color w:val="auto"/>
              </w:rPr>
            </w:pPr>
            <w:r>
              <w:rPr>
                <w:rFonts w:hint="eastAsia"/>
                <w:b/>
                <w:color w:val="auto"/>
                <w:szCs w:val="22"/>
              </w:rPr>
              <w:t xml:space="preserve">5.2 </w:t>
            </w:r>
          </w:p>
        </w:tc>
        <w:tc>
          <w:tcPr>
            <w:tcW w:w="10306" w:type="dxa"/>
            <w:vAlign w:val="top"/>
          </w:tcPr>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rPr>
              <w:t>环境</w:t>
            </w:r>
            <w:r>
              <w:rPr>
                <w:rFonts w:hint="eastAsia" w:ascii="宋体" w:hAnsi="宋体" w:eastAsia="宋体" w:cs="宋体"/>
                <w:color w:val="auto"/>
                <w:sz w:val="21"/>
                <w:szCs w:val="21"/>
                <w:u w:val="none"/>
              </w:rPr>
              <w:t>方针为：</w:t>
            </w:r>
          </w:p>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eastAsia="宋体" w:cs="宋体"/>
                <w:color w:val="auto"/>
                <w:sz w:val="21"/>
                <w:szCs w:val="21"/>
                <w:highlight w:val="yellow"/>
                <w:u w:val="none"/>
              </w:rPr>
            </w:pPr>
            <w:r>
              <w:rPr>
                <w:rFonts w:hint="eastAsia" w:ascii="宋体" w:hAnsi="宋体" w:eastAsia="宋体" w:cs="宋体"/>
                <w:color w:val="auto"/>
                <w:sz w:val="21"/>
                <w:szCs w:val="21"/>
                <w:u w:val="none"/>
                <w:lang w:eastAsia="zh-CN"/>
              </w:rPr>
              <w:t>质量为本、满意服务；污染预防、全员环保；安全为天、珍爱生命；遵纪守法、持续改进。</w:t>
            </w:r>
          </w:p>
          <w:p>
            <w:pPr>
              <w:keepNext w:val="0"/>
              <w:keepLines w:val="0"/>
              <w:pageBreakBefore w:val="0"/>
              <w:kinsoku/>
              <w:wordWrap/>
              <w:overflowPunct/>
              <w:topLinePunct w:val="0"/>
              <w:autoSpaceDE/>
              <w:autoSpaceDN/>
              <w:bidi w:val="0"/>
              <w:adjustRightInd w:val="0"/>
              <w:spacing w:line="312" w:lineRule="auto"/>
              <w:ind w:firstLine="420" w:firstLineChars="200"/>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上述环境方针体现了公司对环境污染和可持续发展方面的承诺。也是公司全体员工的环境行为准则。</w:t>
            </w:r>
          </w:p>
          <w:p>
            <w:pPr>
              <w:keepNext w:val="0"/>
              <w:keepLines w:val="0"/>
              <w:pageBreakBefore w:val="0"/>
              <w:kinsoku/>
              <w:wordWrap/>
              <w:overflowPunct/>
              <w:topLinePunct w:val="0"/>
              <w:autoSpaceDE/>
              <w:autoSpaceDN/>
              <w:bidi w:val="0"/>
              <w:spacing w:line="312" w:lineRule="auto"/>
              <w:ind w:firstLine="420" w:firstLineChars="200"/>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管理方针在手册上进行了确定和发布，并通过文件发放的形式发放至各部门、给员工进行了宣传培训。</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    方针对外进行了发布。</w:t>
            </w:r>
          </w:p>
          <w:p>
            <w:pPr>
              <w:keepNext w:val="0"/>
              <w:keepLines w:val="0"/>
              <w:pageBreakBefore w:val="0"/>
              <w:kinsoku/>
              <w:wordWrap/>
              <w:overflowPunct/>
              <w:topLinePunct w:val="0"/>
              <w:autoSpaceDE/>
              <w:autoSpaceDN/>
              <w:bidi w:val="0"/>
              <w:spacing w:line="312" w:lineRule="auto"/>
              <w:ind w:firstLine="420" w:firstLineChars="200"/>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手册对方针的内涵进行了阐述，为目标制定及评审提供了框架，每年至少一次,在管理评审会议上讨论其适宜性和改进机会。</w:t>
            </w:r>
          </w:p>
          <w:p>
            <w:pPr>
              <w:keepNext w:val="0"/>
              <w:keepLines w:val="0"/>
              <w:pageBreakBefore w:val="0"/>
              <w:widowControl/>
              <w:kinsoku/>
              <w:wordWrap/>
              <w:overflowPunct/>
              <w:topLinePunct w:val="0"/>
              <w:autoSpaceDE/>
              <w:autoSpaceDN/>
              <w:bidi w:val="0"/>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企业的</w:t>
            </w:r>
            <w:r>
              <w:rPr>
                <w:rFonts w:hint="eastAsia" w:ascii="宋体" w:hAnsi="宋体" w:eastAsia="宋体" w:cs="宋体"/>
                <w:color w:val="auto"/>
                <w:sz w:val="21"/>
                <w:szCs w:val="21"/>
                <w:lang w:val="en-US" w:eastAsia="zh-CN" w:bidi="ar"/>
              </w:rPr>
              <w:t>环境管理</w:t>
            </w:r>
            <w:r>
              <w:rPr>
                <w:rFonts w:hint="eastAsia" w:ascii="宋体" w:hAnsi="宋体" w:eastAsia="宋体" w:cs="宋体"/>
                <w:color w:val="auto"/>
                <w:sz w:val="21"/>
                <w:szCs w:val="21"/>
                <w:lang w:bidi="ar"/>
              </w:rPr>
              <w:t>方针的内容和管理基本符合标准和法规要求。</w:t>
            </w:r>
          </w:p>
        </w:tc>
        <w:tc>
          <w:tcPr>
            <w:tcW w:w="128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top"/>
          </w:tcPr>
          <w:p>
            <w:pPr>
              <w:adjustRightInd w:val="0"/>
              <w:snapToGrid w:val="0"/>
              <w:jc w:val="both"/>
              <w:rPr>
                <w:rFonts w:hint="eastAsia" w:ascii="宋体" w:hAnsi="宋体" w:cs="宋体"/>
                <w:color w:val="auto"/>
                <w:sz w:val="21"/>
                <w:szCs w:val="21"/>
              </w:rPr>
            </w:pPr>
            <w:r>
              <w:rPr>
                <w:rFonts w:hint="eastAsia" w:ascii="宋体" w:hAnsi="宋体" w:cs="宋体"/>
                <w:color w:val="auto"/>
                <w:sz w:val="21"/>
                <w:szCs w:val="21"/>
              </w:rPr>
              <w:t>组织的角色、职责和权限；</w:t>
            </w:r>
          </w:p>
          <w:p>
            <w:pPr>
              <w:jc w:val="both"/>
              <w:rPr>
                <w:color w:val="auto"/>
              </w:rPr>
            </w:pPr>
          </w:p>
        </w:tc>
        <w:tc>
          <w:tcPr>
            <w:tcW w:w="960" w:type="dxa"/>
            <w:vAlign w:val="top"/>
          </w:tcPr>
          <w:p>
            <w:pPr>
              <w:jc w:val="both"/>
              <w:rPr>
                <w:color w:val="auto"/>
              </w:rPr>
            </w:pPr>
            <w:r>
              <w:rPr>
                <w:rFonts w:hint="eastAsia"/>
                <w:b/>
                <w:color w:val="auto"/>
                <w:szCs w:val="22"/>
              </w:rPr>
              <w:t>5.3</w:t>
            </w:r>
          </w:p>
        </w:tc>
        <w:tc>
          <w:tcPr>
            <w:tcW w:w="10306" w:type="dxa"/>
            <w:vAlign w:val="top"/>
          </w:tcPr>
          <w:p>
            <w:pPr>
              <w:keepNext w:val="0"/>
              <w:keepLines w:val="0"/>
              <w:pageBreakBefore w:val="0"/>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28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60" w:type="dxa"/>
            <w:vAlign w:val="top"/>
          </w:tcPr>
          <w:p>
            <w:pPr>
              <w:adjustRightInd w:val="0"/>
              <w:snapToGrid w:val="0"/>
              <w:jc w:val="both"/>
              <w:rPr>
                <w:color w:val="auto"/>
              </w:rPr>
            </w:pPr>
            <w:r>
              <w:rPr>
                <w:rFonts w:hint="eastAsia" w:ascii="宋体" w:hAnsi="宋体" w:cs="宋体"/>
                <w:color w:val="auto"/>
                <w:sz w:val="21"/>
                <w:szCs w:val="21"/>
              </w:rPr>
              <w:t>应对风险和机遇的措施；</w:t>
            </w:r>
          </w:p>
        </w:tc>
        <w:tc>
          <w:tcPr>
            <w:tcW w:w="960" w:type="dxa"/>
            <w:vAlign w:val="top"/>
          </w:tcPr>
          <w:p>
            <w:pPr>
              <w:jc w:val="both"/>
              <w:rPr>
                <w:rFonts w:hint="default" w:eastAsia="宋体"/>
                <w:color w:val="auto"/>
                <w:lang w:val="en-US" w:eastAsia="zh-CN"/>
              </w:rPr>
            </w:pPr>
            <w:r>
              <w:rPr>
                <w:rFonts w:hint="eastAsia" w:ascii="宋体" w:hAnsi="宋体" w:cs="宋体"/>
                <w:b/>
                <w:bCs/>
                <w:color w:val="auto"/>
                <w:sz w:val="21"/>
                <w:szCs w:val="21"/>
              </w:rPr>
              <w:t>6.1</w:t>
            </w:r>
          </w:p>
        </w:tc>
        <w:tc>
          <w:tcPr>
            <w:tcW w:w="10306" w:type="dxa"/>
            <w:vAlign w:val="top"/>
          </w:tcPr>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查见《风险和机遇评估分析表》：</w:t>
            </w:r>
          </w:p>
          <w:p>
            <w:pPr>
              <w:keepNext w:val="0"/>
              <w:keepLines w:val="0"/>
              <w:pageBreakBefore w:val="0"/>
              <w:numPr>
                <w:ilvl w:val="0"/>
                <w:numId w:val="1"/>
              </w:numPr>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类型：外部因素；</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类别：竞争风险：公司目前的竞争对手也是比较优秀的，影响公司的领先优势。机遇：竞争加剧，发展压力大，但也会带来新的发展机遇。</w:t>
            </w:r>
          </w:p>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应对机遇及措施：及时关注公司服务市场的情况，收集信息及时调整，保持公司产品的竞争力。</w:t>
            </w:r>
          </w:p>
          <w:p>
            <w:pPr>
              <w:keepNext w:val="0"/>
              <w:keepLines w:val="0"/>
              <w:pageBreakBefore w:val="0"/>
              <w:kinsoku/>
              <w:wordWrap/>
              <w:overflowPunct/>
              <w:topLinePunct w:val="0"/>
              <w:autoSpaceDE/>
              <w:autoSpaceDN/>
              <w:bidi w:val="0"/>
              <w:spacing w:line="312" w:lineRule="auto"/>
              <w:ind w:firstLine="630" w:firstLineChars="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针对外部因素，还分析了市场、文化、社会经济、法律法规的变化等。</w:t>
            </w:r>
          </w:p>
          <w:p>
            <w:pPr>
              <w:keepNext w:val="0"/>
              <w:keepLines w:val="0"/>
              <w:pageBreakBefore w:val="0"/>
              <w:numPr>
                <w:ilvl w:val="0"/>
                <w:numId w:val="1"/>
              </w:numPr>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类型：内部因素；</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应对机遇及措施：各部门应及时关注员工的心态变化，注意工作方式，创造良好的工作环境，提高员工的归属感。</w:t>
            </w:r>
          </w:p>
          <w:p>
            <w:pPr>
              <w:keepNext w:val="0"/>
              <w:keepLines w:val="0"/>
              <w:pageBreakBefore w:val="0"/>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针对内部因素，还分析了财务状况、人力资源、基础设施等。</w:t>
            </w:r>
          </w:p>
          <w:p>
            <w:pPr>
              <w:keepNext w:val="0"/>
              <w:keepLines w:val="0"/>
              <w:pageBreakBefore w:val="0"/>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提供有《组织环境和相关需求分析清单》，内容包括考虑的层面、当前现状、风险或机遇、应对措施等，抽查2项如下：</w:t>
            </w:r>
          </w:p>
          <w:p>
            <w:pPr>
              <w:keepNext w:val="0"/>
              <w:keepLines w:val="0"/>
              <w:pageBreakBefore w:val="0"/>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1)内部服务流程</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会产生固废排放</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周围居民投诉</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对固废进行分类收集处理。</w:t>
            </w:r>
          </w:p>
          <w:p>
            <w:pPr>
              <w:keepNext w:val="0"/>
              <w:keepLines w:val="0"/>
              <w:pageBreakBefore w:val="0"/>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bidi="ar"/>
              </w:rPr>
              <w:t>2)外部供应链</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现有供方没有发现环保不达标或违规，但少有通过ISO14001认证供方可能会因环保问题而停业或关闭，影响供货。 对现有主要供方进行调查审核；优先考虑通过ISO14001认证的供应商</w:t>
            </w:r>
            <w:r>
              <w:rPr>
                <w:rFonts w:hint="eastAsia" w:ascii="宋体" w:hAnsi="宋体" w:eastAsia="宋体" w:cs="宋体"/>
                <w:color w:val="auto"/>
                <w:sz w:val="21"/>
                <w:szCs w:val="21"/>
                <w:lang w:eastAsia="zh-CN" w:bidi="ar"/>
              </w:rPr>
              <w:t>。</w:t>
            </w:r>
          </w:p>
          <w:p>
            <w:pPr>
              <w:keepNext w:val="0"/>
              <w:keepLines w:val="0"/>
              <w:pageBreakBefore w:val="0"/>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 ......                         </w:t>
            </w:r>
          </w:p>
          <w:p>
            <w:pPr>
              <w:keepNext w:val="0"/>
              <w:keepLines w:val="0"/>
              <w:pageBreakBefore w:val="0"/>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lang w:bidi="ar"/>
              </w:rPr>
              <w:t xml:space="preserve"> </w:t>
            </w:r>
            <w:r>
              <w:rPr>
                <w:rFonts w:hint="eastAsia" w:ascii="宋体" w:hAnsi="宋体" w:eastAsia="宋体" w:cs="宋体"/>
                <w:color w:val="auto"/>
                <w:sz w:val="21"/>
                <w:szCs w:val="21"/>
              </w:rPr>
              <w:t>应对这些风险，公司依据GB/T24001-2016</w:t>
            </w:r>
            <w:r>
              <w:rPr>
                <w:rFonts w:hint="eastAsia" w:ascii="宋体" w:hAnsi="宋体" w:eastAsia="宋体" w:cs="宋体"/>
                <w:color w:val="auto"/>
                <w:sz w:val="21"/>
                <w:szCs w:val="21"/>
                <w:lang w:val="en-US" w:eastAsia="zh-CN"/>
              </w:rPr>
              <w:t>标准</w:t>
            </w:r>
            <w:r>
              <w:rPr>
                <w:rFonts w:hint="eastAsia" w:ascii="宋体" w:hAnsi="宋体" w:eastAsia="宋体" w:cs="宋体"/>
                <w:color w:val="auto"/>
                <w:sz w:val="21"/>
                <w:szCs w:val="21"/>
              </w:rPr>
              <w:t>，编制了《管理手册》、《</w:t>
            </w:r>
            <w:r>
              <w:rPr>
                <w:rFonts w:hint="eastAsia" w:ascii="宋体" w:hAnsi="宋体" w:eastAsia="宋体" w:cs="宋体"/>
                <w:color w:val="auto"/>
                <w:sz w:val="21"/>
                <w:szCs w:val="21"/>
                <w:lang w:val="en-US" w:eastAsia="zh-CN"/>
              </w:rPr>
              <w:t>规范</w:t>
            </w:r>
            <w:r>
              <w:rPr>
                <w:rFonts w:hint="eastAsia" w:ascii="宋体" w:hAnsi="宋体" w:eastAsia="宋体" w:cs="宋体"/>
                <w:color w:val="auto"/>
                <w:sz w:val="21"/>
                <w:szCs w:val="21"/>
              </w:rPr>
              <w:t>文件》及《管理制度》</w:t>
            </w:r>
            <w:r>
              <w:rPr>
                <w:rFonts w:hint="eastAsia" w:ascii="宋体" w:hAnsi="宋体" w:eastAsia="宋体" w:cs="宋体"/>
                <w:color w:val="auto"/>
                <w:sz w:val="21"/>
                <w:szCs w:val="21"/>
                <w:highlight w:val="none"/>
                <w:lang w:bidi="ar"/>
              </w:rPr>
              <w:t xml:space="preserve"> </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应对风险和机遇的措施应与其对于产品和服务符合性的潜在影响相适应。</w:t>
            </w:r>
          </w:p>
        </w:tc>
        <w:tc>
          <w:tcPr>
            <w:tcW w:w="1283"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cs="宋体"/>
                <w:color w:val="auto"/>
                <w:szCs w:val="21"/>
              </w:rPr>
              <w:t>6.1.4</w:t>
            </w:r>
          </w:p>
        </w:tc>
        <w:tc>
          <w:tcPr>
            <w:tcW w:w="10306" w:type="dxa"/>
            <w:vAlign w:val="top"/>
          </w:tcPr>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 w:val="21"/>
                <w:szCs w:val="21"/>
              </w:rPr>
              <w:t>组织管理层策划关于开展</w:t>
            </w:r>
            <w:r>
              <w:rPr>
                <w:rFonts w:hint="eastAsia" w:ascii="宋体" w:hAnsi="宋体" w:eastAsia="宋体" w:cs="宋体"/>
                <w:color w:val="auto"/>
                <w:sz w:val="21"/>
                <w:szCs w:val="21"/>
                <w:lang w:val="en-US" w:eastAsia="zh-CN"/>
              </w:rPr>
              <w:t>环境</w:t>
            </w:r>
            <w:r>
              <w:rPr>
                <w:rFonts w:hint="eastAsia" w:ascii="宋体" w:hAnsi="宋体" w:eastAsia="宋体" w:cs="宋体"/>
                <w:color w:val="auto"/>
                <w:sz w:val="21"/>
                <w:szCs w:val="21"/>
              </w:rPr>
              <w:t>管理体系中所采取措施，以便管理</w:t>
            </w:r>
            <w:r>
              <w:rPr>
                <w:rFonts w:hint="eastAsia" w:ascii="宋体" w:hAnsi="宋体" w:eastAsia="宋体" w:cs="宋体"/>
                <w:color w:val="auto"/>
                <w:sz w:val="21"/>
                <w:szCs w:val="21"/>
                <w:lang w:val="en-US" w:eastAsia="zh-CN"/>
              </w:rPr>
              <w:t>环境</w:t>
            </w:r>
            <w:r>
              <w:rPr>
                <w:rFonts w:hint="eastAsia" w:ascii="宋体" w:hAnsi="宋体" w:eastAsia="宋体" w:cs="宋体"/>
                <w:color w:val="auto"/>
                <w:sz w:val="21"/>
                <w:szCs w:val="21"/>
              </w:rPr>
              <w:t>目标、</w:t>
            </w:r>
            <w:r>
              <w:rPr>
                <w:rFonts w:hint="eastAsia" w:ascii="宋体" w:hAnsi="宋体" w:eastAsia="宋体" w:cs="宋体"/>
                <w:color w:val="auto"/>
                <w:sz w:val="21"/>
                <w:szCs w:val="21"/>
                <w:lang w:val="en-US" w:eastAsia="zh-CN"/>
              </w:rPr>
              <w:t>重要环境因素</w:t>
            </w:r>
            <w:r>
              <w:rPr>
                <w:rFonts w:hint="eastAsia" w:ascii="宋体" w:hAnsi="宋体" w:eastAsia="宋体" w:cs="宋体"/>
                <w:color w:val="auto"/>
                <w:sz w:val="21"/>
                <w:szCs w:val="21"/>
              </w:rPr>
              <w:t>、合规性义务、组织识别的风险等。通过合规性评价、目标考核、运行方案、管理评审、内外部沟通等方式以保证管理体系达到预期结果。具体见各部门审核记录。</w:t>
            </w:r>
          </w:p>
        </w:tc>
        <w:tc>
          <w:tcPr>
            <w:tcW w:w="1283" w:type="dxa"/>
          </w:tcPr>
          <w:p>
            <w:pPr>
              <w:spacing w:line="360" w:lineRule="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top"/>
          </w:tcPr>
          <w:p>
            <w:pPr>
              <w:jc w:val="both"/>
              <w:rPr>
                <w:color w:val="auto"/>
              </w:rPr>
            </w:pPr>
            <w:r>
              <w:rPr>
                <w:rFonts w:hint="eastAsia" w:ascii="宋体" w:hAnsi="宋体"/>
                <w:color w:val="auto"/>
                <w:sz w:val="21"/>
                <w:szCs w:val="21"/>
              </w:rPr>
              <w:t>目标及其实现的策划</w:t>
            </w:r>
          </w:p>
        </w:tc>
        <w:tc>
          <w:tcPr>
            <w:tcW w:w="960" w:type="dxa"/>
            <w:vAlign w:val="top"/>
          </w:tcPr>
          <w:p>
            <w:pPr>
              <w:jc w:val="both"/>
              <w:rPr>
                <w:color w:val="auto"/>
              </w:rPr>
            </w:pPr>
            <w:r>
              <w:rPr>
                <w:rFonts w:hint="eastAsia" w:ascii="宋体" w:hAnsi="宋体"/>
                <w:b/>
                <w:bCs/>
                <w:color w:val="auto"/>
                <w:sz w:val="21"/>
                <w:szCs w:val="21"/>
              </w:rPr>
              <w:t>6.2</w:t>
            </w:r>
          </w:p>
        </w:tc>
        <w:tc>
          <w:tcPr>
            <w:tcW w:w="10306" w:type="dxa"/>
            <w:vAlign w:val="top"/>
          </w:tcPr>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环境目标：</w:t>
            </w:r>
          </w:p>
          <w:p>
            <w:pPr>
              <w:keepNext w:val="0"/>
              <w:keepLines w:val="0"/>
              <w:pageBreakBefore w:val="0"/>
              <w:numPr>
                <w:ilvl w:val="0"/>
                <w:numId w:val="0"/>
              </w:numPr>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固体废弃物100%合规处理</w:t>
            </w:r>
          </w:p>
          <w:p>
            <w:pPr>
              <w:keepNext w:val="0"/>
              <w:keepLines w:val="0"/>
              <w:pageBreakBefore w:val="0"/>
              <w:numPr>
                <w:ilvl w:val="0"/>
                <w:numId w:val="0"/>
              </w:numPr>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火灾发生率为0</w:t>
            </w:r>
            <w:r>
              <w:rPr>
                <w:rFonts w:hint="eastAsia" w:ascii="宋体" w:hAnsi="宋体" w:eastAsia="宋体" w:cs="宋体"/>
                <w:color w:val="auto"/>
                <w:sz w:val="21"/>
                <w:szCs w:val="21"/>
                <w:highlight w:val="none"/>
              </w:rPr>
              <w:t>；</w:t>
            </w:r>
          </w:p>
          <w:p>
            <w:pPr>
              <w:pStyle w:val="8"/>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查《</w:t>
            </w:r>
            <w:r>
              <w:rPr>
                <w:rFonts w:hint="eastAsia" w:ascii="宋体" w:hAnsi="宋体" w:eastAsia="宋体" w:cs="宋体"/>
                <w:color w:val="auto"/>
                <w:kern w:val="2"/>
                <w:sz w:val="21"/>
                <w:szCs w:val="21"/>
                <w:highlight w:val="none"/>
                <w:lang w:eastAsia="zh-CN"/>
              </w:rPr>
              <w:t>目标及实施情况统计表</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2022年1月-12月</w:t>
            </w:r>
            <w:r>
              <w:rPr>
                <w:rFonts w:hint="eastAsia" w:ascii="宋体" w:hAnsi="宋体" w:eastAsia="宋体" w:cs="宋体"/>
                <w:color w:val="auto"/>
                <w:kern w:val="2"/>
                <w:sz w:val="21"/>
                <w:szCs w:val="21"/>
                <w:highlight w:val="none"/>
                <w:lang w:val="en-US" w:eastAsia="zh-CN"/>
              </w:rPr>
              <w:t>度</w:t>
            </w:r>
            <w:r>
              <w:rPr>
                <w:rFonts w:hint="eastAsia" w:ascii="宋体" w:hAnsi="宋体" w:eastAsia="宋体" w:cs="宋体"/>
                <w:color w:val="auto"/>
                <w:kern w:val="2"/>
                <w:sz w:val="21"/>
                <w:szCs w:val="21"/>
                <w:highlight w:val="none"/>
              </w:rPr>
              <w:t>对目标进行考核，考核情况为：</w:t>
            </w: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固体废弃物100%合规处理</w:t>
            </w:r>
            <w:r>
              <w:rPr>
                <w:rFonts w:hint="eastAsia" w:ascii="宋体" w:hAnsi="宋体" w:eastAsia="宋体" w:cs="宋体"/>
                <w:color w:val="auto"/>
                <w:sz w:val="21"/>
                <w:szCs w:val="21"/>
                <w:highlight w:val="none"/>
                <w:lang w:val="en-US" w:eastAsia="zh-CN"/>
              </w:rPr>
              <w:t xml:space="preserve">        实测：100%</w:t>
            </w:r>
          </w:p>
          <w:p>
            <w:pPr>
              <w:keepNext w:val="0"/>
              <w:keepLines w:val="0"/>
              <w:pageBreakBefore w:val="0"/>
              <w:tabs>
                <w:tab w:val="left" w:pos="3333"/>
              </w:tabs>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火灾发生率为0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val="en-US" w:eastAsia="zh-CN"/>
              </w:rPr>
              <w:t xml:space="preserve">  实测：零</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对固废的排放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火灾</w:t>
            </w:r>
            <w:r>
              <w:rPr>
                <w:rFonts w:hint="eastAsia" w:ascii="宋体" w:hAnsi="宋体" w:eastAsia="宋体" w:cs="宋体"/>
                <w:color w:val="auto"/>
                <w:sz w:val="21"/>
                <w:szCs w:val="21"/>
                <w:highlight w:val="none"/>
              </w:rPr>
              <w:t>等拟定有管理方案实施控制。</w:t>
            </w:r>
          </w:p>
        </w:tc>
        <w:tc>
          <w:tcPr>
            <w:tcW w:w="128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vAlign w:val="top"/>
          </w:tcPr>
          <w:p>
            <w:pPr>
              <w:adjustRightInd w:val="0"/>
              <w:snapToGrid w:val="0"/>
              <w:jc w:val="center"/>
              <w:rPr>
                <w:color w:val="auto"/>
                <w:highlight w:val="none"/>
              </w:rPr>
            </w:pPr>
            <w:r>
              <w:rPr>
                <w:rFonts w:hint="eastAsia" w:ascii="宋体" w:hAnsi="宋体"/>
                <w:color w:val="auto"/>
                <w:sz w:val="21"/>
                <w:szCs w:val="21"/>
                <w:highlight w:val="none"/>
              </w:rPr>
              <w:t>监测、分析和评价总则；</w:t>
            </w:r>
          </w:p>
        </w:tc>
        <w:tc>
          <w:tcPr>
            <w:tcW w:w="960" w:type="dxa"/>
            <w:vAlign w:val="top"/>
          </w:tcPr>
          <w:p>
            <w:pPr>
              <w:rPr>
                <w:rFonts w:ascii="宋体" w:hAnsi="宋体"/>
                <w:color w:val="auto"/>
                <w:sz w:val="21"/>
                <w:szCs w:val="21"/>
                <w:highlight w:val="none"/>
              </w:rPr>
            </w:pPr>
            <w:r>
              <w:rPr>
                <w:rFonts w:hint="eastAsia" w:ascii="宋体" w:hAnsi="宋体"/>
                <w:b/>
                <w:bCs/>
                <w:color w:val="auto"/>
                <w:sz w:val="21"/>
                <w:szCs w:val="21"/>
                <w:highlight w:val="none"/>
              </w:rPr>
              <w:t>9.1.1</w:t>
            </w:r>
            <w:r>
              <w:rPr>
                <w:rFonts w:hint="eastAsia" w:ascii="宋体" w:hAnsi="宋体"/>
                <w:color w:val="auto"/>
                <w:sz w:val="21"/>
                <w:szCs w:val="21"/>
                <w:highlight w:val="none"/>
              </w:rPr>
              <w:t xml:space="preserve"> </w:t>
            </w:r>
          </w:p>
          <w:p>
            <w:pPr>
              <w:rPr>
                <w:color w:val="auto"/>
                <w:highlight w:val="none"/>
              </w:rPr>
            </w:pPr>
          </w:p>
        </w:tc>
        <w:tc>
          <w:tcPr>
            <w:tcW w:w="10306" w:type="dxa"/>
            <w:vAlign w:val="top"/>
          </w:tcPr>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合规性评价控制程序</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内部审核控制程序》</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管理评审控制程序</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kern w:val="0"/>
                <w:sz w:val="21"/>
                <w:szCs w:val="21"/>
              </w:rPr>
              <w:t>环境职业健康安全监视和测量控制程序</w:t>
            </w:r>
            <w:r>
              <w:rPr>
                <w:rFonts w:hint="eastAsia" w:ascii="宋体" w:hAnsi="宋体" w:eastAsia="宋体" w:cs="宋体"/>
                <w:color w:val="auto"/>
                <w:sz w:val="21"/>
                <w:szCs w:val="21"/>
                <w:highlight w:val="none"/>
              </w:rPr>
              <w:t>》</w:t>
            </w:r>
          </w:p>
        </w:tc>
        <w:tc>
          <w:tcPr>
            <w:tcW w:w="1283" w:type="dxa"/>
          </w:tcPr>
          <w:p>
            <w:pPr>
              <w:spacing w:line="360" w:lineRule="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内部审核</w:t>
            </w:r>
          </w:p>
        </w:tc>
        <w:tc>
          <w:tcPr>
            <w:tcW w:w="960" w:type="dxa"/>
            <w:vAlign w:val="top"/>
          </w:tcPr>
          <w:p>
            <w:pPr>
              <w:rPr>
                <w:rFonts w:hint="eastAsia" w:ascii="宋体" w:hAnsi="宋体"/>
                <w:color w:val="auto"/>
                <w:sz w:val="21"/>
                <w:szCs w:val="21"/>
                <w:highlight w:val="none"/>
              </w:rPr>
            </w:pPr>
            <w:r>
              <w:rPr>
                <w:rFonts w:hint="eastAsia" w:ascii="宋体" w:hAnsi="宋体"/>
                <w:color w:val="auto"/>
                <w:sz w:val="21"/>
                <w:szCs w:val="21"/>
                <w:highlight w:val="none"/>
              </w:rPr>
              <w:t xml:space="preserve">9.2 </w:t>
            </w:r>
          </w:p>
          <w:p>
            <w:pPr>
              <w:rPr>
                <w:rFonts w:hint="eastAsia" w:ascii="Times New Roman" w:hAnsi="Times New Roman" w:eastAsia="宋体" w:cs="Times New Roman"/>
                <w:color w:val="auto"/>
                <w:kern w:val="2"/>
                <w:sz w:val="21"/>
                <w:highlight w:val="none"/>
                <w:lang w:val="en-US" w:eastAsia="zh-CN" w:bidi="ar-SA"/>
              </w:rPr>
            </w:pPr>
          </w:p>
        </w:tc>
        <w:tc>
          <w:tcPr>
            <w:tcW w:w="10306" w:type="dxa"/>
            <w:vAlign w:val="top"/>
          </w:tcPr>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查管理手册，公司按标准要求编制了《</w:t>
            </w:r>
            <w:r>
              <w:rPr>
                <w:rFonts w:hint="eastAsia" w:ascii="宋体" w:hAnsi="宋体" w:eastAsia="宋体" w:cs="宋体"/>
                <w:color w:val="auto"/>
                <w:sz w:val="21"/>
                <w:szCs w:val="21"/>
                <w:highlight w:val="none"/>
                <w:lang w:eastAsia="zh-CN"/>
              </w:rPr>
              <w:t>内部审核控制程序</w:t>
            </w:r>
            <w:r>
              <w:rPr>
                <w:rFonts w:hint="eastAsia" w:ascii="宋体" w:hAnsi="宋体" w:eastAsia="宋体" w:cs="宋体"/>
                <w:color w:val="auto"/>
                <w:sz w:val="21"/>
                <w:szCs w:val="21"/>
                <w:highlight w:val="none"/>
              </w:rPr>
              <w:t>》，规定了内部审核的目的、范围、职责、要求、方法频次等，规定每两次内审的时间不得超过12个月。</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内部</w:t>
            </w:r>
            <w:r>
              <w:rPr>
                <w:rFonts w:hint="eastAsia" w:ascii="宋体" w:hAnsi="宋体" w:eastAsia="宋体" w:cs="宋体"/>
                <w:color w:val="auto"/>
                <w:sz w:val="21"/>
                <w:szCs w:val="21"/>
                <w:highlight w:val="none"/>
              </w:rPr>
              <w:t>审核计划》</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审核时间：</w:t>
            </w:r>
            <w:r>
              <w:rPr>
                <w:rFonts w:hint="eastAsia" w:ascii="宋体" w:hAnsi="宋体" w:eastAsia="宋体" w:cs="宋体"/>
                <w:color w:val="auto"/>
                <w:sz w:val="21"/>
                <w:szCs w:val="21"/>
                <w:highlight w:val="none"/>
                <w:lang w:val="en-US" w:eastAsia="zh-CN"/>
              </w:rPr>
              <w:t>2022年8月5日-6日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上一次内审时间：</w:t>
            </w:r>
            <w:r>
              <w:rPr>
                <w:rFonts w:hint="eastAsia" w:ascii="宋体" w:hAnsi="宋体" w:eastAsia="宋体" w:cs="宋体"/>
                <w:color w:val="auto"/>
                <w:sz w:val="21"/>
                <w:szCs w:val="21"/>
                <w:highlight w:val="none"/>
                <w:lang w:eastAsia="zh-CN"/>
              </w:rPr>
              <w:t>2021年08月10~11日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时间间隔未超过12个月，符合相关策划及要求）</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目的：评定并确定现行的管理体系、方针是否符合标准的要求，运行是否有效，迎接认证公司审核；</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范围</w:t>
            </w:r>
            <w:r>
              <w:rPr>
                <w:rFonts w:hint="eastAsia" w:ascii="宋体" w:hAnsi="宋体" w:eastAsia="宋体" w:cs="宋体"/>
                <w:color w:val="auto"/>
                <w:sz w:val="21"/>
                <w:szCs w:val="21"/>
              </w:rPr>
              <w:t>：管理手册覆盖的所有部门、过程和要素。</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审核组长：</w:t>
            </w:r>
            <w:r>
              <w:rPr>
                <w:rFonts w:hint="default" w:ascii="宋体" w:hAnsi="宋体" w:eastAsia="宋体" w:cs="宋体"/>
                <w:color w:val="auto"/>
                <w:sz w:val="21"/>
                <w:szCs w:val="21"/>
                <w:lang w:eastAsia="zh-CN"/>
              </w:rPr>
              <w:t>陶艳辉</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组</w:t>
            </w:r>
            <w:r>
              <w:rPr>
                <w:rFonts w:hint="eastAsia" w:ascii="宋体" w:hAnsi="宋体" w:eastAsia="宋体" w:cs="宋体"/>
                <w:color w:val="auto"/>
                <w:sz w:val="21"/>
                <w:szCs w:val="21"/>
              </w:rPr>
              <w:t>员：</w:t>
            </w:r>
            <w:r>
              <w:rPr>
                <w:rFonts w:hint="eastAsia" w:ascii="宋体" w:hAnsi="宋体" w:eastAsia="宋体" w:cs="宋体"/>
                <w:color w:val="auto"/>
                <w:sz w:val="21"/>
                <w:szCs w:val="21"/>
                <w:lang w:val="en-US" w:eastAsia="zh-CN"/>
              </w:rPr>
              <w:t>曾小玲</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抽查《</w:t>
            </w:r>
            <w:r>
              <w:rPr>
                <w:rFonts w:hint="eastAsia" w:ascii="宋体" w:hAnsi="宋体" w:eastAsia="宋体" w:cs="宋体"/>
                <w:color w:val="auto"/>
                <w:sz w:val="21"/>
                <w:szCs w:val="21"/>
                <w:highlight w:val="none"/>
                <w:lang w:val="en-US" w:eastAsia="zh-CN"/>
              </w:rPr>
              <w:t>综合部</w:t>
            </w:r>
            <w:r>
              <w:rPr>
                <w:rFonts w:hint="eastAsia" w:ascii="宋体" w:hAnsi="宋体" w:eastAsia="宋体" w:cs="宋体"/>
                <w:color w:val="auto"/>
                <w:sz w:val="21"/>
                <w:szCs w:val="21"/>
                <w:highlight w:val="none"/>
              </w:rPr>
              <w:t>审核检查表》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市场部</w:t>
            </w:r>
            <w:r>
              <w:rPr>
                <w:rFonts w:hint="eastAsia" w:ascii="宋体" w:hAnsi="宋体" w:eastAsia="宋体" w:cs="宋体"/>
                <w:color w:val="auto"/>
                <w:sz w:val="21"/>
                <w:szCs w:val="21"/>
                <w:highlight w:val="none"/>
              </w:rPr>
              <w:t>审核检查表》审核记录，审核过程及条款基本齐全，不存在审核自己部门的情况。</w:t>
            </w:r>
          </w:p>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查本次内审共发现不合格项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个，属一般不符合。</w:t>
            </w:r>
            <w:r>
              <w:rPr>
                <w:rFonts w:hint="eastAsia" w:ascii="宋体" w:hAnsi="宋体" w:eastAsia="宋体" w:cs="宋体"/>
                <w:color w:val="auto"/>
                <w:sz w:val="21"/>
                <w:szCs w:val="21"/>
                <w:highlight w:val="none"/>
                <w:lang w:val="en-US" w:eastAsia="zh-CN"/>
              </w:rPr>
              <w:t>涉及综合部7.3条款，不符合描述为“综合部部分新进员工对于公司的环境方针及目标不够了解”，已经对不合格原因进行了</w:t>
            </w:r>
            <w:r>
              <w:rPr>
                <w:rFonts w:hint="eastAsia" w:ascii="宋体" w:hAnsi="宋体" w:eastAsia="宋体" w:cs="宋体"/>
                <w:color w:val="auto"/>
                <w:sz w:val="21"/>
                <w:szCs w:val="21"/>
                <w:highlight w:val="none"/>
              </w:rPr>
              <w:t>分析，制订了纠正措施，并对结果进行了验证。</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查，审核结论：公司环境管理体系的建立符合标准要求、实施有效。</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通过内部审核，公司环境管理体系的建立实施是有效的，符合标准要求。</w:t>
            </w:r>
          </w:p>
        </w:tc>
        <w:tc>
          <w:tcPr>
            <w:tcW w:w="1283"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60" w:type="dxa"/>
            <w:vAlign w:val="center"/>
          </w:tcPr>
          <w:p>
            <w:pPr>
              <w:rPr>
                <w:color w:val="auto"/>
              </w:rPr>
            </w:pPr>
            <w:r>
              <w:rPr>
                <w:rFonts w:hint="eastAsia" w:ascii="宋体" w:hAnsi="宋体" w:cs="宋体"/>
                <w:color w:val="auto"/>
                <w:sz w:val="21"/>
                <w:szCs w:val="21"/>
              </w:rPr>
              <w:t>管理评审</w:t>
            </w:r>
          </w:p>
        </w:tc>
        <w:tc>
          <w:tcPr>
            <w:tcW w:w="960" w:type="dxa"/>
            <w:vAlign w:val="top"/>
          </w:tcPr>
          <w:p>
            <w:pPr>
              <w:rPr>
                <w:rFonts w:hint="eastAsia" w:ascii="宋体" w:hAnsi="宋体" w:cs="宋体"/>
                <w:b/>
                <w:bCs/>
                <w:color w:val="auto"/>
                <w:sz w:val="21"/>
                <w:szCs w:val="21"/>
              </w:rPr>
            </w:pPr>
            <w:r>
              <w:rPr>
                <w:rFonts w:hint="eastAsia" w:ascii="宋体" w:hAnsi="宋体" w:cs="宋体"/>
                <w:b/>
                <w:bCs/>
                <w:color w:val="auto"/>
                <w:sz w:val="21"/>
                <w:szCs w:val="21"/>
              </w:rPr>
              <w:t xml:space="preserve">9.3  </w:t>
            </w:r>
          </w:p>
          <w:p>
            <w:pPr>
              <w:rPr>
                <w:color w:val="auto"/>
              </w:rPr>
            </w:pPr>
          </w:p>
        </w:tc>
        <w:tc>
          <w:tcPr>
            <w:tcW w:w="10306" w:type="dxa"/>
            <w:vAlign w:val="top"/>
          </w:tcPr>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查，公司管理手册，规定了管理评审的要求：管理评审的主持人、时间频率、管理评审的输入、输出等。公司制定了“</w:t>
            </w:r>
            <w:r>
              <w:rPr>
                <w:rFonts w:hint="eastAsia" w:ascii="宋体" w:hAnsi="宋体" w:eastAsia="宋体" w:cs="宋体"/>
                <w:color w:val="auto"/>
                <w:sz w:val="21"/>
                <w:szCs w:val="21"/>
                <w:lang w:eastAsia="zh-CN" w:bidi="ar"/>
              </w:rPr>
              <w:t>管理评审控制程序</w:t>
            </w:r>
            <w:r>
              <w:rPr>
                <w:rFonts w:hint="eastAsia" w:ascii="宋体" w:hAnsi="宋体" w:eastAsia="宋体" w:cs="宋体"/>
                <w:color w:val="auto"/>
                <w:sz w:val="21"/>
                <w:szCs w:val="21"/>
                <w:lang w:bidi="ar"/>
              </w:rPr>
              <w:t>”,规定每年至少进行一次管理评审，每次时间间隔不超过12个月</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bidi="ar"/>
              </w:rPr>
              <w:t>时间：</w:t>
            </w:r>
            <w:r>
              <w:rPr>
                <w:rFonts w:hint="eastAsia" w:ascii="宋体" w:hAnsi="宋体" w:eastAsia="宋体" w:cs="宋体"/>
                <w:color w:val="auto"/>
                <w:sz w:val="21"/>
                <w:szCs w:val="21"/>
                <w:lang w:val="en-US" w:eastAsia="zh-CN" w:bidi="ar"/>
              </w:rPr>
              <w:t>2022年8月15日（上一年度管理评审时间为：</w:t>
            </w:r>
            <w:r>
              <w:rPr>
                <w:rFonts w:hint="eastAsia" w:ascii="宋体" w:hAnsi="宋体" w:eastAsia="宋体" w:cs="宋体"/>
                <w:color w:val="auto"/>
                <w:sz w:val="21"/>
                <w:szCs w:val="21"/>
                <w:lang w:eastAsia="zh-CN" w:bidi="ar"/>
              </w:rPr>
              <w:t>20</w:t>
            </w:r>
            <w:r>
              <w:rPr>
                <w:rFonts w:hint="eastAsia" w:ascii="宋体" w:hAnsi="宋体" w:eastAsia="宋体" w:cs="宋体"/>
                <w:color w:val="auto"/>
                <w:sz w:val="21"/>
                <w:szCs w:val="21"/>
                <w:lang w:val="en-US" w:eastAsia="zh-CN" w:bidi="ar"/>
              </w:rPr>
              <w:t>21</w:t>
            </w:r>
            <w:r>
              <w:rPr>
                <w:rFonts w:hint="eastAsia" w:ascii="宋体" w:hAnsi="宋体" w:eastAsia="宋体" w:cs="宋体"/>
                <w:color w:val="auto"/>
                <w:sz w:val="21"/>
                <w:szCs w:val="21"/>
                <w:lang w:bidi="ar"/>
              </w:rPr>
              <w:t>年</w:t>
            </w:r>
            <w:r>
              <w:rPr>
                <w:rFonts w:hint="eastAsia" w:ascii="宋体" w:hAnsi="宋体" w:eastAsia="宋体" w:cs="宋体"/>
                <w:color w:val="auto"/>
                <w:sz w:val="21"/>
                <w:szCs w:val="21"/>
                <w:lang w:val="en-US" w:eastAsia="zh-CN" w:bidi="ar"/>
              </w:rPr>
              <w:t>9</w:t>
            </w:r>
            <w:r>
              <w:rPr>
                <w:rFonts w:hint="eastAsia" w:ascii="宋体" w:hAnsi="宋体" w:eastAsia="宋体" w:cs="宋体"/>
                <w:color w:val="auto"/>
                <w:sz w:val="21"/>
                <w:szCs w:val="21"/>
                <w:lang w:bidi="ar"/>
              </w:rPr>
              <w:t>月</w:t>
            </w:r>
            <w:r>
              <w:rPr>
                <w:rFonts w:hint="eastAsia" w:ascii="宋体" w:hAnsi="宋体" w:eastAsia="宋体" w:cs="宋体"/>
                <w:color w:val="auto"/>
                <w:sz w:val="21"/>
                <w:szCs w:val="21"/>
                <w:lang w:val="en-US" w:eastAsia="zh-CN" w:bidi="ar"/>
              </w:rPr>
              <w:t>10</w:t>
            </w:r>
            <w:r>
              <w:rPr>
                <w:rFonts w:hint="eastAsia" w:ascii="宋体" w:hAnsi="宋体" w:eastAsia="宋体" w:cs="宋体"/>
                <w:color w:val="auto"/>
                <w:sz w:val="21"/>
                <w:szCs w:val="21"/>
                <w:lang w:bidi="ar"/>
              </w:rPr>
              <w:t>日</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highlight w:val="none"/>
                <w:lang w:val="en-US" w:eastAsia="zh-CN"/>
              </w:rPr>
              <w:t>时间间隔未超过12个月，符合相关策划及要求）</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主持人：总经理</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参加人员：管理者代表、各部门负责人</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评审输入内容：</w:t>
            </w:r>
          </w:p>
          <w:p>
            <w:pPr>
              <w:keepNext w:val="0"/>
              <w:keepLines w:val="0"/>
              <w:pageBreakBefore w:val="0"/>
              <w:numPr>
                <w:ilvl w:val="0"/>
                <w:numId w:val="2"/>
              </w:numPr>
              <w:kinsoku/>
              <w:wordWrap/>
              <w:overflowPunct/>
              <w:topLinePunct w:val="0"/>
              <w:autoSpaceDE/>
              <w:autoSpaceDN/>
              <w:bidi w:val="0"/>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体系贯彻工作进展情况。</w:t>
            </w:r>
          </w:p>
          <w:p>
            <w:pPr>
              <w:keepNext w:val="0"/>
              <w:keepLines w:val="0"/>
              <w:pageBreakBefore w:val="0"/>
              <w:numPr>
                <w:ilvl w:val="0"/>
                <w:numId w:val="2"/>
              </w:numPr>
              <w:kinsoku/>
              <w:wordWrap/>
              <w:overflowPunct/>
              <w:topLinePunct w:val="0"/>
              <w:autoSpaceDE/>
              <w:autoSpaceDN/>
              <w:bidi w:val="0"/>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环境方针的评审，</w:t>
            </w:r>
          </w:p>
          <w:p>
            <w:pPr>
              <w:keepNext w:val="0"/>
              <w:keepLines w:val="0"/>
              <w:pageBreakBefore w:val="0"/>
              <w:numPr>
                <w:ilvl w:val="0"/>
                <w:numId w:val="2"/>
              </w:numPr>
              <w:kinsoku/>
              <w:wordWrap/>
              <w:overflowPunct/>
              <w:topLinePunct w:val="0"/>
              <w:autoSpaceDE/>
              <w:autoSpaceDN/>
              <w:bidi w:val="0"/>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体系策划情况的评审（包括法律法规、目标指标）；</w:t>
            </w:r>
          </w:p>
          <w:p>
            <w:pPr>
              <w:keepNext w:val="0"/>
              <w:keepLines w:val="0"/>
              <w:pageBreakBefore w:val="0"/>
              <w:numPr>
                <w:ilvl w:val="0"/>
                <w:numId w:val="2"/>
              </w:numPr>
              <w:kinsoku/>
              <w:wordWrap/>
              <w:overflowPunct/>
              <w:topLinePunct w:val="0"/>
              <w:autoSpaceDE/>
              <w:autoSpaceDN/>
              <w:bidi w:val="0"/>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预防措施和纠正措施的状况。</w:t>
            </w:r>
          </w:p>
          <w:p>
            <w:pPr>
              <w:keepNext w:val="0"/>
              <w:keepLines w:val="0"/>
              <w:pageBreakBefore w:val="0"/>
              <w:numPr>
                <w:ilvl w:val="0"/>
                <w:numId w:val="2"/>
              </w:numPr>
              <w:kinsoku/>
              <w:wordWrap/>
              <w:overflowPunct/>
              <w:topLinePunct w:val="0"/>
              <w:autoSpaceDE/>
              <w:autoSpaceDN/>
              <w:bidi w:val="0"/>
              <w:spacing w:line="312" w:lineRule="auto"/>
              <w:ind w:left="0" w:firstLine="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实施与运行情况的评审（包括资源提供、文件控制）；</w:t>
            </w:r>
          </w:p>
          <w:p>
            <w:pPr>
              <w:keepNext w:val="0"/>
              <w:keepLines w:val="0"/>
              <w:pageBreakBefore w:val="0"/>
              <w:numPr>
                <w:ilvl w:val="0"/>
                <w:numId w:val="2"/>
              </w:numPr>
              <w:kinsoku/>
              <w:wordWrap/>
              <w:overflowPunct/>
              <w:topLinePunct w:val="0"/>
              <w:autoSpaceDE/>
              <w:autoSpaceDN/>
              <w:bidi w:val="0"/>
              <w:spacing w:line="312" w:lineRule="auto"/>
              <w:ind w:left="0" w:firstLine="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体系绩效测量和监视（包括目标达成情况、内审审核）；</w:t>
            </w:r>
          </w:p>
          <w:p>
            <w:pPr>
              <w:keepNext w:val="0"/>
              <w:keepLines w:val="0"/>
              <w:pageBreakBefore w:val="0"/>
              <w:numPr>
                <w:ilvl w:val="0"/>
                <w:numId w:val="2"/>
              </w:numPr>
              <w:kinsoku/>
              <w:wordWrap/>
              <w:overflowPunct/>
              <w:topLinePunct w:val="0"/>
              <w:autoSpaceDE/>
              <w:autoSpaceDN/>
              <w:bidi w:val="0"/>
              <w:spacing w:line="312" w:lineRule="auto"/>
              <w:ind w:left="0" w:firstLine="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相关</w:t>
            </w:r>
            <w:r>
              <w:rPr>
                <w:rFonts w:hint="eastAsia" w:ascii="宋体" w:hAnsi="宋体" w:eastAsia="宋体" w:cs="宋体"/>
                <w:color w:val="auto"/>
                <w:sz w:val="21"/>
                <w:szCs w:val="21"/>
                <w:lang w:val="en-US" w:eastAsia="zh-CN" w:bidi="ar"/>
              </w:rPr>
              <w:t>方</w:t>
            </w:r>
            <w:r>
              <w:rPr>
                <w:rFonts w:hint="eastAsia" w:ascii="宋体" w:hAnsi="宋体" w:eastAsia="宋体" w:cs="宋体"/>
                <w:color w:val="auto"/>
                <w:sz w:val="21"/>
                <w:szCs w:val="21"/>
                <w:lang w:bidi="ar"/>
              </w:rPr>
              <w:t>关注</w:t>
            </w:r>
          </w:p>
          <w:p>
            <w:pPr>
              <w:keepNext w:val="0"/>
              <w:keepLines w:val="0"/>
              <w:pageBreakBefore w:val="0"/>
              <w:numPr>
                <w:ilvl w:val="0"/>
                <w:numId w:val="2"/>
              </w:numPr>
              <w:kinsoku/>
              <w:wordWrap/>
              <w:overflowPunct/>
              <w:topLinePunct w:val="0"/>
              <w:autoSpaceDE/>
              <w:autoSpaceDN/>
              <w:bidi w:val="0"/>
              <w:spacing w:line="312" w:lineRule="auto"/>
              <w:ind w:left="0" w:firstLine="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可能影响管理体系的变更，包括内外环境的变化，如法律、法规的变化等</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上一次管理评审</w:t>
            </w:r>
            <w:r>
              <w:rPr>
                <w:rFonts w:hint="eastAsia" w:ascii="宋体" w:hAnsi="宋体" w:eastAsia="宋体" w:cs="宋体"/>
                <w:color w:val="auto"/>
                <w:sz w:val="21"/>
                <w:szCs w:val="21"/>
                <w:lang w:bidi="ar"/>
              </w:rPr>
              <w:t>改进</w:t>
            </w:r>
            <w:r>
              <w:rPr>
                <w:rFonts w:hint="eastAsia" w:ascii="宋体" w:hAnsi="宋体" w:eastAsia="宋体" w:cs="宋体"/>
                <w:color w:val="auto"/>
                <w:sz w:val="21"/>
                <w:szCs w:val="21"/>
                <w:lang w:val="en-US" w:eastAsia="zh-CN" w:bidi="ar"/>
              </w:rPr>
              <w:t>项的验证</w:t>
            </w:r>
            <w:r>
              <w:rPr>
                <w:rFonts w:hint="eastAsia" w:ascii="宋体" w:hAnsi="宋体" w:eastAsia="宋体" w:cs="宋体"/>
                <w:color w:val="auto"/>
                <w:sz w:val="21"/>
                <w:szCs w:val="21"/>
                <w:lang w:bidi="ar"/>
              </w:rPr>
              <w:t>：</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改进项为：</w:t>
            </w:r>
            <w:r>
              <w:rPr>
                <w:rFonts w:hint="eastAsia" w:ascii="宋体" w:hAnsi="宋体" w:eastAsia="宋体" w:cs="宋体"/>
                <w:color w:val="auto"/>
                <w:sz w:val="21"/>
                <w:szCs w:val="21"/>
                <w:lang w:bidi="ar"/>
              </w:rPr>
              <w:t>加强</w:t>
            </w:r>
            <w:r>
              <w:rPr>
                <w:rFonts w:hint="eastAsia" w:ascii="宋体" w:hAnsi="宋体" w:eastAsia="宋体" w:cs="宋体"/>
                <w:color w:val="auto"/>
                <w:sz w:val="21"/>
                <w:szCs w:val="21"/>
                <w:lang w:eastAsia="zh-CN" w:bidi="ar"/>
              </w:rPr>
              <w:t>公司文件管理，完善文件管理制度</w:t>
            </w:r>
            <w:r>
              <w:rPr>
                <w:rFonts w:hint="eastAsia" w:ascii="宋体" w:hAnsi="宋体" w:eastAsia="宋体" w:cs="宋体"/>
                <w:color w:val="auto"/>
                <w:sz w:val="21"/>
                <w:szCs w:val="21"/>
                <w:lang w:bidi="ar"/>
              </w:rPr>
              <w:t>，由综合部负责</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val="en-US" w:eastAsia="zh-CN" w:bidi="ar"/>
              </w:rPr>
              <w:t>查见管理评审改进计划及完成情况，综合部在</w:t>
            </w:r>
            <w:r>
              <w:rPr>
                <w:rFonts w:hint="eastAsia" w:ascii="宋体" w:hAnsi="宋体" w:eastAsia="宋体" w:cs="宋体"/>
                <w:color w:val="auto"/>
                <w:sz w:val="21"/>
                <w:szCs w:val="21"/>
                <w:lang w:eastAsia="zh-CN" w:bidi="ar"/>
              </w:rPr>
              <w:t>2021</w:t>
            </w:r>
            <w:r>
              <w:rPr>
                <w:rFonts w:hint="eastAsia" w:ascii="宋体" w:hAnsi="宋体" w:eastAsia="宋体" w:cs="宋体"/>
                <w:color w:val="auto"/>
                <w:sz w:val="21"/>
                <w:szCs w:val="21"/>
                <w:lang w:bidi="ar"/>
              </w:rPr>
              <w:t>年</w:t>
            </w:r>
            <w:r>
              <w:rPr>
                <w:rFonts w:hint="eastAsia" w:ascii="宋体" w:hAnsi="宋体" w:eastAsia="宋体" w:cs="宋体"/>
                <w:color w:val="auto"/>
                <w:sz w:val="21"/>
                <w:szCs w:val="21"/>
                <w:lang w:val="en-US" w:eastAsia="zh-CN" w:bidi="ar"/>
              </w:rPr>
              <w:t>11</w:t>
            </w:r>
            <w:r>
              <w:rPr>
                <w:rFonts w:hint="eastAsia" w:ascii="宋体" w:hAnsi="宋体" w:eastAsia="宋体" w:cs="宋体"/>
                <w:color w:val="auto"/>
                <w:sz w:val="21"/>
                <w:szCs w:val="21"/>
                <w:lang w:bidi="ar"/>
              </w:rPr>
              <w:t>月</w:t>
            </w:r>
            <w:r>
              <w:rPr>
                <w:rFonts w:hint="eastAsia" w:ascii="宋体" w:hAnsi="宋体" w:eastAsia="宋体" w:cs="宋体"/>
                <w:color w:val="auto"/>
                <w:sz w:val="21"/>
                <w:szCs w:val="21"/>
                <w:lang w:val="en-US" w:eastAsia="zh-CN" w:bidi="ar"/>
              </w:rPr>
              <w:t>10日对公司综合部人员进行了培训，效果良好，达到目的。</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评审输出内容：</w:t>
            </w:r>
          </w:p>
          <w:p>
            <w:pPr>
              <w:keepNext w:val="0"/>
              <w:keepLines w:val="0"/>
              <w:pageBreakBefore w:val="0"/>
              <w:numPr>
                <w:ilvl w:val="0"/>
                <w:numId w:val="2"/>
              </w:numPr>
              <w:kinsoku/>
              <w:wordWrap/>
              <w:overflowPunct/>
              <w:topLinePunct w:val="0"/>
              <w:autoSpaceDE/>
              <w:autoSpaceDN/>
              <w:bidi w:val="0"/>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体系贯彻工作进展情况：符合标准要求，得到了正确的实施和保持。</w:t>
            </w:r>
          </w:p>
          <w:p>
            <w:pPr>
              <w:keepNext w:val="0"/>
              <w:keepLines w:val="0"/>
              <w:pageBreakBefore w:val="0"/>
              <w:numPr>
                <w:ilvl w:val="0"/>
                <w:numId w:val="2"/>
              </w:numPr>
              <w:kinsoku/>
              <w:wordWrap/>
              <w:overflowPunct/>
              <w:topLinePunct w:val="0"/>
              <w:autoSpaceDE/>
              <w:autoSpaceDN/>
              <w:bidi w:val="0"/>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环境方针的评审：方针合理、适宜符合要求，</w:t>
            </w:r>
          </w:p>
          <w:p>
            <w:pPr>
              <w:keepNext w:val="0"/>
              <w:keepLines w:val="0"/>
              <w:pageBreakBefore w:val="0"/>
              <w:numPr>
                <w:ilvl w:val="0"/>
                <w:numId w:val="2"/>
              </w:numPr>
              <w:kinsoku/>
              <w:wordWrap/>
              <w:overflowPunct/>
              <w:topLinePunct w:val="0"/>
              <w:autoSpaceDE/>
              <w:autoSpaceDN/>
              <w:bidi w:val="0"/>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体系策划情况的评审（包括法律法规、目标指标）；</w:t>
            </w:r>
          </w:p>
          <w:p>
            <w:pPr>
              <w:keepNext w:val="0"/>
              <w:keepLines w:val="0"/>
              <w:pageBreakBefore w:val="0"/>
              <w:numPr>
                <w:ilvl w:val="0"/>
                <w:numId w:val="2"/>
              </w:numPr>
              <w:kinsoku/>
              <w:wordWrap/>
              <w:overflowPunct/>
              <w:topLinePunct w:val="0"/>
              <w:autoSpaceDE/>
              <w:autoSpaceDN/>
              <w:bidi w:val="0"/>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预防措施和纠正措施的状况。</w:t>
            </w:r>
          </w:p>
          <w:p>
            <w:pPr>
              <w:keepNext w:val="0"/>
              <w:keepLines w:val="0"/>
              <w:pageBreakBefore w:val="0"/>
              <w:numPr>
                <w:ilvl w:val="0"/>
                <w:numId w:val="2"/>
              </w:numPr>
              <w:kinsoku/>
              <w:wordWrap/>
              <w:overflowPunct/>
              <w:topLinePunct w:val="0"/>
              <w:autoSpaceDE/>
              <w:autoSpaceDN/>
              <w:bidi w:val="0"/>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实施与运行情况的评审（包括资源提供、文件控制）；</w:t>
            </w:r>
          </w:p>
          <w:p>
            <w:pPr>
              <w:keepNext w:val="0"/>
              <w:keepLines w:val="0"/>
              <w:pageBreakBefore w:val="0"/>
              <w:numPr>
                <w:ilvl w:val="0"/>
                <w:numId w:val="2"/>
              </w:numPr>
              <w:kinsoku/>
              <w:wordWrap/>
              <w:overflowPunct/>
              <w:topLinePunct w:val="0"/>
              <w:autoSpaceDE/>
              <w:autoSpaceDN/>
              <w:bidi w:val="0"/>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体系绩效测量和监视（包括目标达成情况、内审审核）：通过考核目标达成良好，内审基本符合要求；</w:t>
            </w:r>
          </w:p>
          <w:p>
            <w:pPr>
              <w:keepNext w:val="0"/>
              <w:keepLines w:val="0"/>
              <w:pageBreakBefore w:val="0"/>
              <w:numPr>
                <w:ilvl w:val="0"/>
                <w:numId w:val="2"/>
              </w:numPr>
              <w:kinsoku/>
              <w:wordWrap/>
              <w:overflowPunct/>
              <w:topLinePunct w:val="0"/>
              <w:autoSpaceDE/>
              <w:autoSpaceDN/>
              <w:bidi w:val="0"/>
              <w:spacing w:line="312" w:lineRule="auto"/>
              <w:ind w:left="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相关方关注：20</w:t>
            </w:r>
            <w:r>
              <w:rPr>
                <w:rFonts w:hint="eastAsia" w:ascii="宋体" w:hAnsi="宋体" w:eastAsia="宋体" w:cs="宋体"/>
                <w:color w:val="auto"/>
                <w:sz w:val="21"/>
                <w:szCs w:val="21"/>
                <w:lang w:val="en-US" w:eastAsia="zh-CN" w:bidi="ar"/>
              </w:rPr>
              <w:t>22</w:t>
            </w:r>
            <w:r>
              <w:rPr>
                <w:rFonts w:hint="eastAsia" w:ascii="宋体" w:hAnsi="宋体" w:eastAsia="宋体" w:cs="宋体"/>
                <w:color w:val="auto"/>
                <w:sz w:val="21"/>
                <w:szCs w:val="21"/>
                <w:lang w:bidi="ar"/>
              </w:rPr>
              <w:t>年</w:t>
            </w:r>
            <w:r>
              <w:rPr>
                <w:rFonts w:hint="eastAsia" w:ascii="宋体" w:hAnsi="宋体" w:eastAsia="宋体" w:cs="宋体"/>
                <w:color w:val="auto"/>
                <w:sz w:val="21"/>
                <w:szCs w:val="21"/>
                <w:lang w:val="en-US" w:eastAsia="zh-CN" w:bidi="ar"/>
              </w:rPr>
              <w:t>1月</w:t>
            </w:r>
            <w:r>
              <w:rPr>
                <w:rFonts w:hint="eastAsia" w:ascii="宋体" w:hAnsi="宋体" w:eastAsia="宋体" w:cs="宋体"/>
                <w:color w:val="auto"/>
                <w:sz w:val="21"/>
                <w:szCs w:val="21"/>
                <w:lang w:bidi="ar"/>
              </w:rPr>
              <w:t>至今未收到相关方及顾客投诉抱怨；</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本次管理评审改进项：加强公司培训管理，完善培训管理制度，由综合部负责，要求在2022年12月前由综合部完成。查见管理评审改进计划及培训记录，综合部于2022年12月08日组织各部门全体人员进行培训，并进行了考核，改进有效。</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管理评审结论：环境方针、目标适宜，体系符合企业现状，公司建立的管理体系适宜、充分、有效</w:t>
            </w:r>
          </w:p>
        </w:tc>
        <w:tc>
          <w:tcPr>
            <w:tcW w:w="128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60" w:type="dxa"/>
            <w:vAlign w:val="top"/>
          </w:tcPr>
          <w:p>
            <w:pPr>
              <w:adjustRightInd w:val="0"/>
              <w:snapToGrid w:val="0"/>
              <w:jc w:val="center"/>
              <w:rPr>
                <w:rFonts w:ascii="宋体" w:hAnsi="宋体"/>
                <w:color w:val="auto"/>
                <w:sz w:val="21"/>
                <w:szCs w:val="21"/>
              </w:rPr>
            </w:pPr>
            <w:r>
              <w:rPr>
                <w:rFonts w:hint="eastAsia" w:ascii="宋体" w:hAnsi="宋体"/>
                <w:color w:val="auto"/>
                <w:sz w:val="21"/>
                <w:szCs w:val="21"/>
              </w:rPr>
              <w:t>改进 总则</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eastAsia="宋体" w:cs="Times New Roman"/>
                <w:color w:val="auto"/>
                <w:sz w:val="21"/>
                <w:szCs w:val="21"/>
              </w:rPr>
              <w:t>10.1;10.3；</w:t>
            </w:r>
            <w:r>
              <w:rPr>
                <w:rFonts w:hint="eastAsia" w:ascii="宋体" w:hAnsi="宋体"/>
                <w:color w:val="auto"/>
                <w:sz w:val="21"/>
                <w:szCs w:val="21"/>
              </w:rPr>
              <w:t xml:space="preserve"> </w:t>
            </w:r>
          </w:p>
          <w:p>
            <w:pPr>
              <w:rPr>
                <w:color w:val="auto"/>
              </w:rPr>
            </w:pPr>
          </w:p>
        </w:tc>
        <w:tc>
          <w:tcPr>
            <w:tcW w:w="10306" w:type="dxa"/>
            <w:vAlign w:val="top"/>
          </w:tcPr>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公司制定系列程序文件《</w:t>
            </w:r>
            <w:r>
              <w:rPr>
                <w:rFonts w:hint="eastAsia" w:ascii="宋体" w:hAnsi="宋体" w:eastAsia="宋体" w:cs="宋体"/>
                <w:color w:val="auto"/>
                <w:sz w:val="21"/>
                <w:szCs w:val="21"/>
                <w:lang w:eastAsia="zh-CN"/>
              </w:rPr>
              <w:t>管理评审控制程序</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纠正预防措施控制程序</w:t>
            </w:r>
            <w:r>
              <w:rPr>
                <w:rFonts w:hint="eastAsia" w:ascii="宋体" w:hAnsi="宋体" w:eastAsia="宋体" w:cs="宋体"/>
                <w:color w:val="auto"/>
                <w:sz w:val="21"/>
                <w:szCs w:val="21"/>
              </w:rPr>
              <w:t>》及《</w:t>
            </w:r>
            <w:r>
              <w:rPr>
                <w:rFonts w:hint="eastAsia" w:ascii="宋体" w:hAnsi="宋体" w:eastAsia="宋体" w:cs="宋体"/>
                <w:color w:val="auto"/>
                <w:sz w:val="21"/>
                <w:szCs w:val="21"/>
                <w:lang w:eastAsia="zh-CN"/>
              </w:rPr>
              <w:t>内部审核控制程序</w:t>
            </w:r>
            <w:r>
              <w:rPr>
                <w:rFonts w:hint="eastAsia" w:ascii="宋体" w:hAnsi="宋体" w:eastAsia="宋体" w:cs="宋体"/>
                <w:color w:val="auto"/>
                <w:sz w:val="21"/>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公司通过方针、目标的达成分析、内部审核结果、数据资料统计分析、纠正和预防措施和管理评审等方式，以推动环境管理体系的持续改进。</w:t>
            </w:r>
          </w:p>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283"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color w:val="auto"/>
              </w:rPr>
            </w:pPr>
            <w:r>
              <w:rPr>
                <w:rFonts w:hint="eastAsia" w:ascii="宋体" w:hAnsi="宋体" w:cs="新宋体"/>
                <w:color w:val="auto"/>
                <w:sz w:val="21"/>
                <w:szCs w:val="21"/>
              </w:rPr>
              <w:t>资</w:t>
            </w:r>
            <w:r>
              <w:rPr>
                <w:rFonts w:hint="eastAsia" w:ascii="宋体" w:hAnsi="宋体" w:eastAsia="宋体" w:cs="新宋体"/>
                <w:color w:val="auto"/>
                <w:sz w:val="21"/>
                <w:szCs w:val="21"/>
              </w:rPr>
              <w:t>质的确认、管理体系变化情况</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rPr>
              <w:t>标准/规范/法规的执行情况、认证证书、标志的使用情况、投诉或事故、监督抽查情况</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rPr>
              <w:t>上次审核不符合项</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lang w:val="en-US" w:eastAsia="zh-CN"/>
              </w:rPr>
              <w:t>综合部7.2条款</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rPr>
              <w:t>的验证</w:t>
            </w:r>
            <w:r>
              <w:rPr>
                <w:rFonts w:hint="eastAsia" w:ascii="宋体" w:hAnsi="宋体" w:eastAsia="宋体" w:cs="新宋体"/>
                <w:color w:val="auto"/>
                <w:sz w:val="21"/>
                <w:szCs w:val="21"/>
                <w:lang w:val="en-US" w:eastAsia="zh-CN"/>
              </w:rPr>
              <w:t>情况。</w:t>
            </w:r>
          </w:p>
        </w:tc>
        <w:tc>
          <w:tcPr>
            <w:tcW w:w="960" w:type="dxa"/>
            <w:vAlign w:val="top"/>
          </w:tcPr>
          <w:p>
            <w:pPr>
              <w:jc w:val="both"/>
              <w:rPr>
                <w:color w:val="auto"/>
              </w:rPr>
            </w:pPr>
          </w:p>
        </w:tc>
        <w:tc>
          <w:tcPr>
            <w:tcW w:w="10306" w:type="dxa"/>
            <w:vAlign w:val="center"/>
          </w:tcPr>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确认，公司</w:t>
            </w:r>
            <w:r>
              <w:rPr>
                <w:rFonts w:hint="eastAsia" w:ascii="宋体" w:hAnsi="宋体" w:eastAsia="宋体" w:cs="宋体"/>
                <w:color w:val="auto"/>
                <w:sz w:val="21"/>
                <w:szCs w:val="21"/>
                <w:lang w:eastAsia="zh-CN"/>
              </w:rPr>
              <w:t>环境</w:t>
            </w:r>
            <w:r>
              <w:rPr>
                <w:rFonts w:hint="eastAsia" w:ascii="宋体" w:hAnsi="宋体" w:eastAsia="宋体" w:cs="宋体"/>
                <w:color w:val="auto"/>
                <w:sz w:val="21"/>
                <w:szCs w:val="21"/>
              </w:rPr>
              <w:t>管理体系</w:t>
            </w:r>
            <w:r>
              <w:rPr>
                <w:rFonts w:hint="eastAsia" w:ascii="宋体" w:hAnsi="宋体" w:eastAsia="宋体" w:cs="宋体"/>
                <w:color w:val="auto"/>
                <w:sz w:val="21"/>
                <w:szCs w:val="21"/>
                <w:lang w:eastAsia="zh-CN"/>
              </w:rPr>
              <w:t>覆盖范围</w:t>
            </w:r>
            <w:r>
              <w:rPr>
                <w:rFonts w:hint="eastAsia" w:ascii="宋体" w:hAnsi="宋体" w:eastAsia="宋体" w:cs="宋体"/>
                <w:color w:val="auto"/>
                <w:sz w:val="21"/>
                <w:szCs w:val="21"/>
                <w:lang w:val="en-US" w:eastAsia="zh-CN"/>
              </w:rPr>
              <w:t>无变化，为</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木托盘、木箱、纸质包装制品、塑料制品、不干胶标签的销售所涉及场所的相关环境管理活动。</w:t>
            </w:r>
          </w:p>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提供营业执照（三证合一），检查有效。公司严格执行国标及企业标准要求和法律、法规要求。</w:t>
            </w:r>
          </w:p>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近一年来</w:t>
            </w:r>
            <w:r>
              <w:rPr>
                <w:rFonts w:hint="eastAsia" w:ascii="宋体" w:hAnsi="宋体" w:eastAsia="宋体" w:cs="宋体"/>
                <w:color w:val="auto"/>
                <w:sz w:val="21"/>
                <w:szCs w:val="21"/>
                <w:lang w:eastAsia="zh-CN"/>
              </w:rPr>
              <w:t>，公司没有环保抽查情况，没有相关的环境投诉。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现场查见认证证书及标识使用情况，符合要求。</w:t>
            </w:r>
          </w:p>
          <w:p>
            <w:pPr>
              <w:pStyle w:val="3"/>
              <w:keepNext w:val="0"/>
              <w:keepLines w:val="0"/>
              <w:pageBreakBefore w:val="0"/>
              <w:kinsoku/>
              <w:wordWrap/>
              <w:overflowPunct/>
              <w:topLinePunct w:val="0"/>
              <w:autoSpaceDE/>
              <w:autoSpaceDN/>
              <w:bidi w:val="0"/>
              <w:spacing w:after="0" w:line="312" w:lineRule="auto"/>
              <w:ind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上次不符合的验证：</w:t>
            </w:r>
            <w:r>
              <w:rPr>
                <w:rFonts w:hint="eastAsia" w:ascii="宋体" w:hAnsi="宋体" w:eastAsia="宋体" w:cs="宋体"/>
                <w:bCs/>
                <w:color w:val="auto"/>
                <w:sz w:val="21"/>
                <w:szCs w:val="21"/>
                <w:lang w:eastAsia="zh-CN"/>
              </w:rPr>
              <w:t>上次不符合发生在</w:t>
            </w:r>
            <w:r>
              <w:rPr>
                <w:rFonts w:hint="eastAsia" w:ascii="宋体" w:hAnsi="宋体" w:eastAsia="宋体" w:cs="新宋体"/>
                <w:color w:val="auto"/>
                <w:sz w:val="21"/>
                <w:szCs w:val="21"/>
                <w:lang w:val="en-US" w:eastAsia="zh-CN"/>
              </w:rPr>
              <w:t>综合部7.2条款</w:t>
            </w:r>
            <w:r>
              <w:rPr>
                <w:rFonts w:hint="eastAsia" w:ascii="宋体" w:hAnsi="宋体" w:eastAsia="宋体" w:cs="宋体"/>
                <w:bCs/>
                <w:color w:val="auto"/>
                <w:sz w:val="21"/>
                <w:szCs w:val="21"/>
                <w:lang w:val="en-US" w:eastAsia="zh-CN"/>
              </w:rPr>
              <w:t>，</w:t>
            </w:r>
            <w:r>
              <w:rPr>
                <w:rFonts w:hint="eastAsia" w:ascii="宋体" w:hAnsi="宋体" w:eastAsia="宋体" w:cs="宋体"/>
                <w:color w:val="auto"/>
                <w:sz w:val="21"/>
                <w:szCs w:val="21"/>
                <w:lang w:val="en-US" w:eastAsia="zh-CN"/>
              </w:rPr>
              <w:t>经</w:t>
            </w:r>
            <w:r>
              <w:rPr>
                <w:rFonts w:hint="eastAsia" w:ascii="宋体" w:hAnsi="宋体" w:eastAsia="宋体" w:cs="宋体"/>
                <w:bCs/>
                <w:color w:val="auto"/>
                <w:sz w:val="21"/>
                <w:szCs w:val="21"/>
                <w:lang w:eastAsia="zh-CN"/>
              </w:rPr>
              <w:t>本次审核验证已经实施整改，</w:t>
            </w:r>
            <w:r>
              <w:rPr>
                <w:rFonts w:hint="eastAsia" w:ascii="宋体" w:hAnsi="宋体" w:cs="宋体"/>
                <w:bCs/>
                <w:color w:val="auto"/>
                <w:sz w:val="21"/>
                <w:szCs w:val="21"/>
                <w:lang w:val="en-US" w:eastAsia="zh-CN"/>
              </w:rPr>
              <w:t>改进</w:t>
            </w:r>
            <w:r>
              <w:rPr>
                <w:rFonts w:hint="eastAsia" w:ascii="宋体" w:hAnsi="宋体" w:eastAsia="宋体" w:cs="宋体"/>
                <w:bCs/>
                <w:color w:val="auto"/>
                <w:sz w:val="21"/>
                <w:szCs w:val="21"/>
                <w:lang w:eastAsia="zh-CN"/>
              </w:rPr>
              <w:t>有效。</w:t>
            </w:r>
          </w:p>
        </w:tc>
        <w:tc>
          <w:tcPr>
            <w:tcW w:w="1283" w:type="dxa"/>
          </w:tcPr>
          <w:p>
            <w:pPr>
              <w:rPr>
                <w:color w:val="auto"/>
              </w:rPr>
            </w:pPr>
            <w:r>
              <w:rPr>
                <w:rFonts w:hint="eastAsia"/>
                <w:color w:val="auto"/>
                <w:lang w:val="en-US" w:eastAsia="zh-CN"/>
              </w:rPr>
              <w:t>符合</w:t>
            </w:r>
          </w:p>
        </w:tc>
      </w:tr>
    </w:tbl>
    <w:p>
      <w:pPr>
        <w:rPr>
          <w:rFonts w:hint="eastAsia"/>
          <w:color w:val="auto"/>
        </w:rPr>
      </w:pPr>
      <w:r>
        <w:rPr>
          <w:rFonts w:hint="eastAsia"/>
          <w:color w:val="auto"/>
        </w:rPr>
        <w:t>说明：不符合标注N</w:t>
      </w:r>
    </w:p>
    <w:p>
      <w:pPr>
        <w:pStyle w:val="6"/>
        <w:rPr>
          <w:rFonts w:hint="eastAsia"/>
          <w:color w:val="auto"/>
        </w:rPr>
      </w:pPr>
    </w:p>
    <w:p>
      <w:pPr>
        <w:pStyle w:val="6"/>
        <w:rPr>
          <w:rFonts w:hint="eastAsia"/>
          <w:color w:val="auto"/>
        </w:rPr>
      </w:pPr>
    </w:p>
    <w:p>
      <w:pPr>
        <w:pStyle w:val="6"/>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28"/>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spacing w:before="120"/>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涉及</w:t>
            </w:r>
          </w:p>
          <w:p>
            <w:pPr>
              <w:spacing w:before="120"/>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条款</w:t>
            </w:r>
          </w:p>
        </w:tc>
        <w:tc>
          <w:tcPr>
            <w:tcW w:w="10328" w:type="dxa"/>
            <w:vAlign w:val="center"/>
          </w:tcPr>
          <w:p>
            <w:pPr>
              <w:spacing w:before="12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受审核部门：</w:t>
            </w:r>
            <w:r>
              <w:rPr>
                <w:rFonts w:hint="eastAsia" w:ascii="Times New Roman" w:hAnsi="Times New Roman" w:eastAsia="宋体" w:cs="Times New Roman"/>
                <w:color w:val="auto"/>
                <w:sz w:val="24"/>
                <w:szCs w:val="24"/>
                <w:highlight w:val="none"/>
                <w:lang w:val="en-US" w:eastAsia="zh-CN"/>
              </w:rPr>
              <w:t xml:space="preserve">综合部（含财务）    </w:t>
            </w:r>
            <w:r>
              <w:rPr>
                <w:rFonts w:hint="eastAsia" w:ascii="Times New Roman" w:hAnsi="Times New Roman" w:eastAsia="宋体" w:cs="Times New Roman"/>
                <w:color w:val="auto"/>
                <w:sz w:val="24"/>
                <w:szCs w:val="24"/>
                <w:highlight w:val="none"/>
              </w:rPr>
              <w:t>主管领导：</w:t>
            </w:r>
            <w:r>
              <w:rPr>
                <w:rFonts w:hint="eastAsia" w:cs="Times New Roman"/>
                <w:color w:val="auto"/>
                <w:sz w:val="24"/>
                <w:szCs w:val="24"/>
                <w:highlight w:val="none"/>
                <w:lang w:val="en-US" w:eastAsia="zh-CN"/>
              </w:rPr>
              <w:t>曾小玲</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陪同人员：</w:t>
            </w:r>
            <w:r>
              <w:rPr>
                <w:rFonts w:hint="eastAsia" w:cs="Times New Roman"/>
                <w:color w:val="auto"/>
                <w:sz w:val="24"/>
                <w:szCs w:val="24"/>
                <w:highlight w:val="none"/>
                <w:lang w:val="en-US" w:eastAsia="zh-CN"/>
              </w:rPr>
              <w:t>陈莉</w:t>
            </w:r>
          </w:p>
        </w:tc>
        <w:tc>
          <w:tcPr>
            <w:tcW w:w="126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28"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冉景洲         </w:t>
            </w:r>
            <w:r>
              <w:rPr>
                <w:rFonts w:hint="eastAsia"/>
                <w:color w:val="auto"/>
                <w:sz w:val="24"/>
                <w:szCs w:val="24"/>
              </w:rPr>
              <w:t>审核时间：</w:t>
            </w:r>
            <w:r>
              <w:rPr>
                <w:rFonts w:hint="eastAsia"/>
                <w:color w:val="auto"/>
                <w:sz w:val="24"/>
                <w:szCs w:val="24"/>
                <w:lang w:val="en-US" w:eastAsia="zh-CN"/>
              </w:rPr>
              <w:t>2023年1月10日</w:t>
            </w:r>
          </w:p>
        </w:tc>
        <w:tc>
          <w:tcPr>
            <w:tcW w:w="12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28" w:type="dxa"/>
            <w:vAlign w:val="center"/>
          </w:tcPr>
          <w:p>
            <w:pPr>
              <w:rPr>
                <w:rFonts w:hint="eastAsia"/>
                <w:color w:val="auto"/>
                <w:sz w:val="24"/>
                <w:szCs w:val="24"/>
              </w:rPr>
            </w:pPr>
            <w:r>
              <w:rPr>
                <w:rFonts w:hint="eastAsia"/>
                <w:color w:val="auto"/>
                <w:sz w:val="24"/>
                <w:szCs w:val="24"/>
              </w:rPr>
              <w:t>审核条款：</w:t>
            </w:r>
          </w:p>
          <w:p>
            <w:pPr>
              <w:rPr>
                <w:color w:val="auto"/>
                <w:sz w:val="24"/>
                <w:szCs w:val="24"/>
              </w:rPr>
            </w:pPr>
            <w:r>
              <w:rPr>
                <w:rFonts w:hint="eastAsia" w:ascii="宋体" w:hAnsi="宋体" w:cs="Times New Roman"/>
                <w:color w:val="auto"/>
                <w:sz w:val="21"/>
                <w:szCs w:val="21"/>
              </w:rPr>
              <w:t>5.3组织的角色、职责和权限；6.1.2环境因素；6.1.3合规义务；6.2目标及其达成的策划；7.2能力</w:t>
            </w:r>
            <w:r>
              <w:rPr>
                <w:rFonts w:hint="eastAsia" w:ascii="宋体" w:hAnsi="宋体" w:cs="Times New Roman"/>
                <w:color w:val="auto"/>
                <w:sz w:val="21"/>
                <w:szCs w:val="21"/>
                <w:lang w:val="en-US" w:eastAsia="zh-CN"/>
              </w:rPr>
              <w:t>（上次不符合项验证）；</w:t>
            </w:r>
            <w:r>
              <w:rPr>
                <w:rFonts w:hint="eastAsia" w:ascii="宋体" w:hAnsi="宋体" w:cs="Times New Roman"/>
                <w:color w:val="auto"/>
                <w:sz w:val="21"/>
                <w:szCs w:val="21"/>
              </w:rPr>
              <w:t>8.1运行策划和控制；8.2应急准备和响应；9.1监视、测量、分析与评估；9.1.2符合性评估；10.2不符合和纠正措施/EMS运行控制相关财务支出证据</w:t>
            </w:r>
          </w:p>
        </w:tc>
        <w:tc>
          <w:tcPr>
            <w:tcW w:w="12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center"/>
              <w:rPr>
                <w:color w:val="auto"/>
              </w:rPr>
            </w:pPr>
          </w:p>
        </w:tc>
        <w:tc>
          <w:tcPr>
            <w:tcW w:w="960" w:type="dxa"/>
            <w:vAlign w:val="top"/>
          </w:tcPr>
          <w:p>
            <w:pPr>
              <w:rPr>
                <w:color w:val="auto"/>
              </w:rPr>
            </w:pPr>
            <w:r>
              <w:rPr>
                <w:rFonts w:hint="eastAsia" w:ascii="宋体" w:hAnsi="宋体" w:cs="新宋体"/>
                <w:color w:val="auto"/>
                <w:sz w:val="21"/>
                <w:szCs w:val="21"/>
              </w:rPr>
              <w:t xml:space="preserve">5.3； </w:t>
            </w:r>
          </w:p>
        </w:tc>
        <w:tc>
          <w:tcPr>
            <w:tcW w:w="10328" w:type="dxa"/>
            <w:vAlign w:val="top"/>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查《岗位职责》，已经明确了</w:t>
            </w:r>
            <w:r>
              <w:rPr>
                <w:rFonts w:hint="eastAsia" w:ascii="宋体" w:hAnsi="宋体" w:eastAsia="宋体" w:cs="宋体"/>
                <w:color w:val="auto"/>
                <w:szCs w:val="21"/>
                <w:lang w:eastAsia="zh-CN"/>
              </w:rPr>
              <w:t>综合部</w:t>
            </w:r>
            <w:r>
              <w:rPr>
                <w:rFonts w:hint="eastAsia" w:ascii="宋体" w:hAnsi="宋体" w:eastAsia="宋体" w:cs="宋体"/>
                <w:color w:val="auto"/>
                <w:szCs w:val="21"/>
              </w:rPr>
              <w:t>的岗位职责，具体为：</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1）负责公司的行政管理工作，对所负责工作的质量负责；</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2)负责人事管理、员工培训、考核及管理。</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3)负责组织公司各项教育培训工作。</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4)负责公司体系文件的推行工作和监督实施。</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5）负责确保环保资金资金的落实</w:t>
            </w:r>
            <w:r>
              <w:rPr>
                <w:rFonts w:hint="eastAsia" w:ascii="宋体" w:hAnsi="宋体" w:eastAsia="宋体" w:cs="宋体"/>
                <w:color w:val="auto"/>
                <w:szCs w:val="21"/>
                <w:lang w:val="en-US" w:eastAsia="zh-CN"/>
              </w:rPr>
              <w:t>.......</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部门职责清晰、明确。</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szCs w:val="21"/>
                <w:lang w:eastAsia="zh-CN"/>
              </w:rPr>
              <w:t>综合部</w:t>
            </w:r>
            <w:r>
              <w:rPr>
                <w:rFonts w:hint="eastAsia" w:ascii="宋体" w:hAnsi="宋体" w:eastAsia="宋体" w:cs="宋体"/>
                <w:color w:val="auto"/>
                <w:szCs w:val="21"/>
              </w:rPr>
              <w:t>和财务部负责人能基本阐述本部门的主要职责。</w:t>
            </w:r>
          </w:p>
        </w:tc>
        <w:tc>
          <w:tcPr>
            <w:tcW w:w="1261"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160" w:type="dxa"/>
            <w:vAlign w:val="top"/>
          </w:tcPr>
          <w:p>
            <w:pPr>
              <w:adjustRightInd w:val="0"/>
              <w:snapToGrid w:val="0"/>
              <w:jc w:val="center"/>
              <w:rPr>
                <w:color w:val="auto"/>
              </w:rPr>
            </w:pPr>
            <w:r>
              <w:rPr>
                <w:rFonts w:hint="eastAsia" w:ascii="宋体" w:hAnsi="宋体" w:cs="新宋体"/>
                <w:color w:val="auto"/>
                <w:szCs w:val="21"/>
              </w:rPr>
              <w:t>环境因素</w:t>
            </w:r>
          </w:p>
        </w:tc>
        <w:tc>
          <w:tcPr>
            <w:tcW w:w="960" w:type="dxa"/>
            <w:vAlign w:val="top"/>
          </w:tcPr>
          <w:p>
            <w:pPr>
              <w:rPr>
                <w:rFonts w:hint="default" w:ascii="宋体" w:hAnsi="宋体" w:eastAsia="宋体" w:cs="新宋体"/>
                <w:color w:val="auto"/>
                <w:sz w:val="21"/>
                <w:szCs w:val="21"/>
                <w:lang w:val="en-US" w:eastAsia="zh-CN"/>
              </w:rPr>
            </w:pPr>
            <w:r>
              <w:rPr>
                <w:rFonts w:hint="eastAsia" w:ascii="宋体" w:hAnsi="宋体" w:cs="新宋体"/>
                <w:color w:val="auto"/>
                <w:sz w:val="21"/>
                <w:szCs w:val="21"/>
                <w:lang w:val="en-US" w:eastAsia="zh-CN"/>
              </w:rPr>
              <w:t>6.1.2</w:t>
            </w:r>
          </w:p>
        </w:tc>
        <w:tc>
          <w:tcPr>
            <w:tcW w:w="10328" w:type="dxa"/>
            <w:vAlign w:val="top"/>
          </w:tcPr>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查见：《</w:t>
            </w:r>
            <w:r>
              <w:rPr>
                <w:rFonts w:hint="eastAsia" w:ascii="宋体" w:hAnsi="宋体" w:eastAsia="宋体" w:cs="宋体"/>
                <w:color w:val="auto"/>
                <w:szCs w:val="21"/>
                <w:lang w:eastAsia="zh-CN"/>
              </w:rPr>
              <w:t>环境因素危险源的识别和评价控制程序</w:t>
            </w:r>
            <w:r>
              <w:rPr>
                <w:rFonts w:hint="eastAsia" w:ascii="宋体" w:hAnsi="宋体" w:eastAsia="宋体" w:cs="宋体"/>
                <w:color w:val="auto"/>
                <w:szCs w:val="21"/>
              </w:rPr>
              <w:t>》，上述文件对识别和评价方法、程序、职责、记录作了规定。</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综合部202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组织了各个部门</w:t>
            </w:r>
            <w:r>
              <w:rPr>
                <w:rFonts w:hint="eastAsia" w:ascii="宋体" w:hAnsi="宋体" w:eastAsia="宋体" w:cs="宋体"/>
                <w:color w:val="auto"/>
                <w:szCs w:val="21"/>
                <w:highlight w:val="none"/>
                <w:lang w:val="en-US" w:eastAsia="zh-CN"/>
              </w:rPr>
              <w:t>重新</w:t>
            </w:r>
            <w:r>
              <w:rPr>
                <w:rFonts w:hint="eastAsia" w:ascii="宋体" w:hAnsi="宋体" w:eastAsia="宋体" w:cs="宋体"/>
                <w:color w:val="auto"/>
                <w:szCs w:val="21"/>
                <w:highlight w:val="none"/>
              </w:rPr>
              <w:t>开展了环境因素的识别工作。</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查见：《环境因素识别与评价清单》和《重要环境因素清单》，按照部门和经营过程进行识别并评价出公司重要环境因素有：</w:t>
            </w:r>
            <w:r>
              <w:rPr>
                <w:rFonts w:hint="eastAsia" w:ascii="宋体" w:hAnsi="宋体" w:eastAsia="宋体" w:cs="宋体"/>
                <w:color w:val="auto"/>
                <w:szCs w:val="21"/>
                <w:lang w:val="en-US" w:eastAsia="zh-CN"/>
              </w:rPr>
              <w:t>潜在</w:t>
            </w:r>
            <w:r>
              <w:rPr>
                <w:rFonts w:hint="eastAsia" w:ascii="宋体" w:hAnsi="宋体" w:eastAsia="宋体" w:cs="宋体"/>
                <w:color w:val="auto"/>
                <w:szCs w:val="21"/>
              </w:rPr>
              <w:t>火灾、固废排放2项，识别清楚、准确，评价合理。</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查：公司《环境因素识别与评价清单》，涉及以下内容：</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废复写纸丢弃 </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复印机的臭氧排放 </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空调氟的泄漏  </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一次性纸杯丢弃 </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废包装材料丢弃</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共计识别</w:t>
            </w:r>
            <w:r>
              <w:rPr>
                <w:rFonts w:hint="eastAsia" w:ascii="宋体" w:hAnsi="宋体" w:eastAsia="宋体" w:cs="宋体"/>
                <w:color w:val="auto"/>
                <w:szCs w:val="21"/>
                <w:lang w:val="en-US" w:eastAsia="zh-CN"/>
              </w:rPr>
              <w:t>36</w:t>
            </w:r>
            <w:r>
              <w:rPr>
                <w:rFonts w:hint="eastAsia" w:ascii="宋体" w:hAnsi="宋体" w:eastAsia="宋体" w:cs="宋体"/>
                <w:color w:val="auto"/>
                <w:szCs w:val="21"/>
              </w:rPr>
              <w:t>项。识别基本清楚、全面。</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查：</w:t>
            </w:r>
            <w:r>
              <w:rPr>
                <w:rFonts w:hint="eastAsia" w:ascii="宋体" w:hAnsi="宋体" w:eastAsia="宋体" w:cs="宋体"/>
                <w:color w:val="auto"/>
                <w:szCs w:val="21"/>
                <w:lang w:eastAsia="zh-CN"/>
              </w:rPr>
              <w:t>综合部</w:t>
            </w:r>
            <w:r>
              <w:rPr>
                <w:rFonts w:hint="eastAsia" w:ascii="宋体" w:hAnsi="宋体" w:eastAsia="宋体" w:cs="宋体"/>
                <w:color w:val="auto"/>
                <w:szCs w:val="21"/>
              </w:rPr>
              <w:t>及办公区域的《环境因素识别评价表》，涉及以下内容：</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a.废弃纸杯、日光灯管、墨盒、电脑、空调等办公用品及设备固废排放等；</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b.水、电、纸张等资源和能源消耗等；</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c.生活垃圾的排放； </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d生活污水排放等；</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共计识别</w:t>
            </w:r>
            <w:r>
              <w:rPr>
                <w:rFonts w:hint="eastAsia" w:ascii="宋体" w:hAnsi="宋体" w:eastAsia="宋体" w:cs="宋体"/>
                <w:color w:val="auto"/>
                <w:szCs w:val="21"/>
                <w:lang w:val="en-US" w:eastAsia="zh-CN"/>
              </w:rPr>
              <w:t>28</w:t>
            </w:r>
            <w:r>
              <w:rPr>
                <w:rFonts w:hint="eastAsia" w:ascii="宋体" w:hAnsi="宋体" w:eastAsia="宋体" w:cs="宋体"/>
                <w:color w:val="auto"/>
                <w:szCs w:val="21"/>
              </w:rPr>
              <w:t>项。识别基本清楚、全面。</w:t>
            </w:r>
          </w:p>
        </w:tc>
        <w:tc>
          <w:tcPr>
            <w:tcW w:w="1261"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6.1.3</w:t>
            </w:r>
          </w:p>
          <w:p>
            <w:pPr>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328" w:type="dxa"/>
            <w:vAlign w:val="top"/>
          </w:tcPr>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 w:val="21"/>
                <w:szCs w:val="21"/>
              </w:rPr>
              <w:t>有《</w:t>
            </w:r>
            <w:r>
              <w:rPr>
                <w:rFonts w:hint="eastAsia" w:ascii="宋体" w:hAnsi="宋体" w:eastAsia="宋体" w:cs="宋体"/>
                <w:color w:val="auto"/>
                <w:sz w:val="21"/>
                <w:szCs w:val="21"/>
                <w:lang w:eastAsia="zh-CN"/>
              </w:rPr>
              <w:t>法律法规和其他要求管理程序</w:t>
            </w:r>
            <w:r>
              <w:rPr>
                <w:rFonts w:hint="eastAsia" w:ascii="宋体" w:hAnsi="宋体" w:eastAsia="宋体" w:cs="宋体"/>
                <w:color w:val="auto"/>
                <w:sz w:val="21"/>
                <w:szCs w:val="21"/>
              </w:rPr>
              <w:t>》</w:t>
            </w:r>
            <w:r>
              <w:rPr>
                <w:rFonts w:hint="eastAsia" w:ascii="宋体" w:hAnsi="宋体" w:eastAsia="宋体" w:cs="宋体"/>
                <w:color w:val="auto"/>
                <w:szCs w:val="21"/>
              </w:rPr>
              <w:t>，</w:t>
            </w:r>
            <w:r>
              <w:rPr>
                <w:rFonts w:hint="eastAsia" w:ascii="宋体" w:hAnsi="宋体" w:eastAsia="宋体" w:cs="宋体"/>
                <w:color w:val="auto"/>
                <w:sz w:val="21"/>
                <w:szCs w:val="21"/>
              </w:rPr>
              <w:t>查有《</w:t>
            </w:r>
            <w:r>
              <w:rPr>
                <w:rFonts w:hint="eastAsia" w:ascii="宋体" w:hAnsi="宋体" w:eastAsia="宋体" w:cs="宋体"/>
                <w:color w:val="auto"/>
                <w:sz w:val="21"/>
                <w:szCs w:val="21"/>
                <w:lang w:eastAsia="zh-CN"/>
              </w:rPr>
              <w:t>法律法规和其他要求管理程序</w:t>
            </w:r>
            <w:r>
              <w:rPr>
                <w:rFonts w:hint="eastAsia" w:ascii="宋体" w:hAnsi="宋体" w:eastAsia="宋体" w:cs="宋体"/>
                <w:color w:val="auto"/>
                <w:sz w:val="21"/>
                <w:szCs w:val="21"/>
              </w:rPr>
              <w:t>》，对本公司环境管理体系适用的法律法规和当地政府</w:t>
            </w:r>
            <w:r>
              <w:rPr>
                <w:rFonts w:hint="eastAsia" w:ascii="宋体" w:hAnsi="宋体" w:eastAsia="宋体" w:cs="宋体"/>
                <w:color w:val="auto"/>
                <w:szCs w:val="21"/>
              </w:rPr>
              <w:t>、行业要求进行了识别，包括环境标准、排放标准、等。</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 查见：20</w:t>
            </w:r>
            <w:r>
              <w:rPr>
                <w:rFonts w:hint="eastAsia" w:ascii="宋体" w:hAnsi="宋体" w:eastAsia="宋体" w:cs="宋体"/>
                <w:color w:val="auto"/>
                <w:szCs w:val="21"/>
                <w:lang w:val="en-US" w:eastAsia="zh-CN"/>
              </w:rPr>
              <w:t>22</w:t>
            </w:r>
            <w:r>
              <w:rPr>
                <w:rFonts w:hint="eastAsia" w:ascii="宋体" w:hAnsi="宋体" w:eastAsia="宋体" w:cs="宋体"/>
                <w:color w:val="auto"/>
                <w:szCs w:val="21"/>
              </w:rPr>
              <w:t>年《</w:t>
            </w:r>
            <w:r>
              <w:rPr>
                <w:rFonts w:hint="eastAsia" w:ascii="宋体" w:hAnsi="宋体" w:eastAsia="宋体" w:cs="宋体"/>
                <w:color w:val="auto"/>
                <w:sz w:val="21"/>
                <w:szCs w:val="21"/>
                <w:lang w:eastAsia="zh-CN"/>
              </w:rPr>
              <w:t>法律法规和其他要求管理程序</w:t>
            </w:r>
            <w:r>
              <w:rPr>
                <w:rFonts w:hint="eastAsia" w:ascii="宋体" w:hAnsi="宋体" w:eastAsia="宋体" w:cs="宋体"/>
                <w:color w:val="auto"/>
                <w:szCs w:val="21"/>
              </w:rPr>
              <w:t>》</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1）国家相关法律法规等</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重庆市</w:t>
            </w:r>
            <w:r>
              <w:rPr>
                <w:rFonts w:hint="eastAsia" w:ascii="宋体" w:hAnsi="宋体" w:eastAsia="宋体" w:cs="宋体"/>
                <w:color w:val="auto"/>
                <w:szCs w:val="21"/>
              </w:rPr>
              <w:t>等地方法规；</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3）与环境管理相关的执行标准</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抽 ：中华人民共和国环境保护法</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 xml:space="preserve">     中华人民共和国消防法</w:t>
            </w:r>
          </w:p>
          <w:p>
            <w:pPr>
              <w:keepNext w:val="0"/>
              <w:keepLines w:val="0"/>
              <w:pageBreakBefore w:val="0"/>
              <w:kinsoku/>
              <w:wordWrap/>
              <w:overflowPunct/>
              <w:topLinePunct w:val="0"/>
              <w:autoSpaceDE/>
              <w:autoSpaceDN/>
              <w:bidi w:val="0"/>
              <w:adjustRightInd/>
              <w:snapToGrid/>
              <w:spacing w:line="312" w:lineRule="auto"/>
              <w:ind w:firstLine="735" w:firstLineChars="350"/>
              <w:textAlignment w:val="auto"/>
              <w:rPr>
                <w:rFonts w:hint="eastAsia" w:ascii="宋体" w:hAnsi="宋体" w:eastAsia="宋体" w:cs="宋体"/>
                <w:color w:val="auto"/>
                <w:szCs w:val="21"/>
              </w:rPr>
            </w:pPr>
            <w:r>
              <w:rPr>
                <w:rFonts w:hint="eastAsia" w:ascii="宋体" w:hAnsi="宋体" w:eastAsia="宋体" w:cs="宋体"/>
                <w:color w:val="auto"/>
                <w:szCs w:val="21"/>
              </w:rPr>
              <w:t>固体废弃物污染防治法等</w:t>
            </w:r>
            <w:r>
              <w:rPr>
                <w:rFonts w:hint="eastAsia" w:ascii="宋体" w:hAnsi="宋体" w:eastAsia="宋体" w:cs="宋体"/>
                <w:color w:val="auto"/>
                <w:szCs w:val="21"/>
                <w:lang w:val="en-US" w:eastAsia="zh-CN"/>
              </w:rPr>
              <w:t>35</w:t>
            </w:r>
            <w:r>
              <w:rPr>
                <w:rFonts w:hint="eastAsia" w:ascii="宋体" w:hAnsi="宋体" w:eastAsia="宋体" w:cs="宋体"/>
                <w:color w:val="auto"/>
                <w:szCs w:val="21"/>
              </w:rPr>
              <w:t>份。</w:t>
            </w:r>
          </w:p>
          <w:p>
            <w:pPr>
              <w:keepNext w:val="0"/>
              <w:keepLines w:val="0"/>
              <w:pageBreakBefore w:val="0"/>
              <w:kinsoku/>
              <w:wordWrap/>
              <w:overflowPunct/>
              <w:topLinePunct w:val="0"/>
              <w:autoSpaceDE/>
              <w:autoSpaceDN/>
              <w:bidi w:val="0"/>
              <w:adjustRightInd/>
              <w:snapToGrid/>
              <w:spacing w:line="312" w:lineRule="auto"/>
              <w:ind w:firstLine="525" w:firstLineChars="250"/>
              <w:textAlignment w:val="auto"/>
              <w:rPr>
                <w:rFonts w:hint="eastAsia" w:ascii="宋体" w:hAnsi="宋体" w:eastAsia="宋体" w:cs="宋体"/>
                <w:color w:val="auto"/>
                <w:szCs w:val="21"/>
              </w:rPr>
            </w:pPr>
            <w:r>
              <w:rPr>
                <w:rFonts w:hint="eastAsia" w:ascii="宋体" w:hAnsi="宋体" w:eastAsia="宋体" w:cs="宋体"/>
                <w:color w:val="auto"/>
                <w:szCs w:val="21"/>
              </w:rPr>
              <w:t>《清单》中列出了文件名称、实施日期、涉及条款、登记日期等内容；</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法规清单上传内部网络，以培训和宣传结合向员工传达要求，记录充分。基本符合要求。</w:t>
            </w:r>
          </w:p>
        </w:tc>
        <w:tc>
          <w:tcPr>
            <w:tcW w:w="1261"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left"/>
              <w:rPr>
                <w:color w:val="auto"/>
              </w:rPr>
            </w:pPr>
            <w:r>
              <w:rPr>
                <w:rFonts w:hint="eastAsia" w:ascii="宋体" w:hAnsi="宋体" w:cs="新宋体"/>
                <w:color w:val="auto"/>
                <w:sz w:val="21"/>
                <w:szCs w:val="21"/>
              </w:rPr>
              <w:t>目标及其实现的策划</w:t>
            </w:r>
          </w:p>
        </w:tc>
        <w:tc>
          <w:tcPr>
            <w:tcW w:w="960" w:type="dxa"/>
            <w:vAlign w:val="top"/>
          </w:tcPr>
          <w:p>
            <w:pPr>
              <w:jc w:val="left"/>
              <w:rPr>
                <w:color w:val="auto"/>
              </w:rPr>
            </w:pPr>
            <w:r>
              <w:rPr>
                <w:rFonts w:hint="eastAsia" w:ascii="宋体" w:hAnsi="宋体" w:cs="新宋体"/>
                <w:color w:val="auto"/>
                <w:sz w:val="21"/>
                <w:szCs w:val="21"/>
              </w:rPr>
              <w:t>6.2</w:t>
            </w:r>
          </w:p>
        </w:tc>
        <w:tc>
          <w:tcPr>
            <w:tcW w:w="10328" w:type="dxa"/>
            <w:vAlign w:val="top"/>
          </w:tcPr>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查见：公司有将环境目标分解到各个部门，</w:t>
            </w:r>
            <w:r>
              <w:rPr>
                <w:rFonts w:hint="eastAsia" w:ascii="宋体" w:hAnsi="宋体" w:eastAsia="宋体" w:cs="宋体"/>
                <w:iCs/>
                <w:color w:val="auto"/>
                <w:sz w:val="21"/>
                <w:szCs w:val="21"/>
                <w:lang w:val="en-US" w:eastAsia="zh-CN" w:bidi="ar"/>
              </w:rPr>
              <w:t>综合部</w:t>
            </w:r>
            <w:r>
              <w:rPr>
                <w:rFonts w:hint="eastAsia" w:ascii="宋体" w:hAnsi="宋体" w:eastAsia="宋体" w:cs="宋体"/>
                <w:color w:val="auto"/>
                <w:sz w:val="21"/>
                <w:szCs w:val="21"/>
                <w:highlight w:val="none"/>
                <w:lang w:bidi="ar"/>
              </w:rPr>
              <w:t>的目标是：</w:t>
            </w:r>
          </w:p>
          <w:p>
            <w:pPr>
              <w:pStyle w:val="2"/>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iCs/>
                <w:color w:val="auto"/>
                <w:sz w:val="21"/>
                <w:szCs w:val="21"/>
                <w:lang w:val="en-US" w:eastAsia="zh-CN" w:bidi="ar"/>
              </w:rPr>
            </w:pPr>
            <w:r>
              <w:rPr>
                <w:rFonts w:hint="eastAsia" w:ascii="宋体" w:hAnsi="宋体" w:eastAsia="宋体" w:cs="宋体"/>
                <w:color w:val="auto"/>
                <w:sz w:val="21"/>
                <w:szCs w:val="21"/>
                <w:highlight w:val="none"/>
                <w:lang w:val="en-US" w:eastAsia="zh-CN" w:bidi="ar"/>
              </w:rPr>
              <w:t>环境目标                           考核结果：</w:t>
            </w:r>
          </w:p>
          <w:p>
            <w:pPr>
              <w:keepNext w:val="0"/>
              <w:keepLines w:val="0"/>
              <w:pageBreakBefore w:val="0"/>
              <w:numPr>
                <w:ilvl w:val="0"/>
                <w:numId w:val="3"/>
              </w:numPr>
              <w:kinsoku/>
              <w:wordWrap/>
              <w:overflowPunct/>
              <w:topLinePunct w:val="0"/>
              <w:autoSpaceDE/>
              <w:autoSpaceDN/>
              <w:bidi w:val="0"/>
              <w:adjustRightInd/>
              <w:snapToGrid/>
              <w:spacing w:line="312" w:lineRule="auto"/>
              <w:ind w:right="170"/>
              <w:jc w:val="left"/>
              <w:textAlignment w:val="auto"/>
              <w:rPr>
                <w:rFonts w:hint="eastAsia" w:ascii="宋体" w:hAnsi="宋体" w:eastAsia="宋体" w:cs="宋体"/>
                <w:iCs/>
                <w:color w:val="auto"/>
                <w:sz w:val="21"/>
                <w:szCs w:val="21"/>
                <w:lang w:val="en-US" w:eastAsia="zh-CN" w:bidi="ar"/>
              </w:rPr>
            </w:pPr>
            <w:r>
              <w:rPr>
                <w:rFonts w:hint="eastAsia" w:ascii="宋体" w:hAnsi="宋体" w:eastAsia="宋体" w:cs="宋体"/>
                <w:iCs/>
                <w:color w:val="auto"/>
                <w:sz w:val="21"/>
                <w:szCs w:val="21"/>
                <w:lang w:val="en-US" w:eastAsia="zh-CN" w:bidi="ar"/>
              </w:rPr>
              <w:t>火灾事故为0；                           实测：0</w:t>
            </w:r>
          </w:p>
          <w:p>
            <w:pPr>
              <w:pStyle w:val="2"/>
              <w:keepNext w:val="0"/>
              <w:keepLines w:val="0"/>
              <w:pageBreakBefore w:val="0"/>
              <w:numPr>
                <w:ilvl w:val="0"/>
                <w:numId w:val="3"/>
              </w:numPr>
              <w:tabs>
                <w:tab w:val="left" w:pos="4541"/>
              </w:tabs>
              <w:kinsoku/>
              <w:wordWrap/>
              <w:overflowPunct/>
              <w:topLinePunct w:val="0"/>
              <w:autoSpaceDE/>
              <w:autoSpaceDN/>
              <w:bidi w:val="0"/>
              <w:adjustRightInd/>
              <w:snapToGrid/>
              <w:spacing w:line="312" w:lineRule="auto"/>
              <w:textAlignment w:val="auto"/>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color w:val="auto"/>
                <w:vertAlign w:val="baseline"/>
              </w:rPr>
              <w:t>培训完成率</w:t>
            </w:r>
            <w:r>
              <w:rPr>
                <w:rFonts w:hint="eastAsia" w:ascii="宋体" w:hAnsi="宋体" w:eastAsia="宋体" w:cs="宋体"/>
                <w:color w:val="auto"/>
                <w:vertAlign w:val="baseline"/>
                <w:lang w:val="en-US" w:eastAsia="zh-CN"/>
              </w:rPr>
              <w:t>100%</w:t>
            </w:r>
            <w:r>
              <w:rPr>
                <w:rFonts w:hint="eastAsia" w:ascii="宋体" w:hAnsi="宋体" w:eastAsia="宋体" w:cs="宋体"/>
                <w:color w:val="auto"/>
                <w:vertAlign w:val="baseline"/>
                <w:lang w:val="en-US" w:eastAsia="zh-CN"/>
              </w:rPr>
              <w:tab/>
            </w:r>
            <w:r>
              <w:rPr>
                <w:rFonts w:hint="eastAsia" w:ascii="宋体" w:hAnsi="宋体" w:eastAsia="宋体" w:cs="宋体"/>
                <w:bCs w:val="0"/>
                <w:color w:val="auto"/>
                <w:spacing w:val="0"/>
                <w:kern w:val="2"/>
                <w:sz w:val="21"/>
                <w:szCs w:val="21"/>
                <w:highlight w:val="none"/>
                <w:lang w:val="en-US" w:eastAsia="zh-CN" w:bidi="ar"/>
              </w:rPr>
              <w:t>实测：100%</w:t>
            </w:r>
          </w:p>
          <w:p>
            <w:pPr>
              <w:keepNext w:val="0"/>
              <w:keepLines w:val="0"/>
              <w:pageBreakBefore w:val="0"/>
              <w:tabs>
                <w:tab w:val="center" w:pos="5056"/>
              </w:tabs>
              <w:kinsoku/>
              <w:wordWrap/>
              <w:overflowPunct/>
              <w:topLinePunct w:val="0"/>
              <w:autoSpaceDE/>
              <w:autoSpaceDN/>
              <w:bidi w:val="0"/>
              <w:adjustRightInd/>
              <w:snapToGrid/>
              <w:spacing w:line="312" w:lineRule="auto"/>
              <w:ind w:right="170"/>
              <w:jc w:val="left"/>
              <w:textAlignment w:val="auto"/>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3、固体废弃物100%合规处理；</w:t>
            </w:r>
            <w:r>
              <w:rPr>
                <w:rFonts w:hint="eastAsia" w:ascii="宋体" w:hAnsi="宋体" w:eastAsia="宋体" w:cs="宋体"/>
                <w:bCs w:val="0"/>
                <w:color w:val="auto"/>
                <w:spacing w:val="0"/>
                <w:kern w:val="2"/>
                <w:sz w:val="21"/>
                <w:szCs w:val="21"/>
                <w:highlight w:val="none"/>
                <w:lang w:val="en-US" w:eastAsia="zh-CN" w:bidi="ar"/>
              </w:rPr>
              <w:tab/>
            </w:r>
            <w:r>
              <w:rPr>
                <w:rFonts w:hint="eastAsia" w:ascii="宋体" w:hAnsi="宋体" w:eastAsia="宋体" w:cs="宋体"/>
                <w:bCs w:val="0"/>
                <w:color w:val="auto"/>
                <w:spacing w:val="0"/>
                <w:kern w:val="2"/>
                <w:sz w:val="21"/>
                <w:szCs w:val="21"/>
                <w:highlight w:val="none"/>
                <w:lang w:val="en-US" w:eastAsia="zh-CN" w:bidi="ar"/>
              </w:rPr>
              <w:t>实测：100%</w:t>
            </w:r>
          </w:p>
          <w:p>
            <w:pPr>
              <w:pStyle w:val="11"/>
              <w:keepNext w:val="0"/>
              <w:keepLines w:val="0"/>
              <w:pageBreakBefore w:val="0"/>
              <w:tabs>
                <w:tab w:val="center" w:pos="5056"/>
              </w:tabs>
              <w:kinsoku/>
              <w:wordWrap/>
              <w:overflowPunct/>
              <w:topLinePunct w:val="0"/>
              <w:autoSpaceDE/>
              <w:autoSpaceDN/>
              <w:bidi w:val="0"/>
              <w:adjustRightInd/>
              <w:snapToGrid/>
              <w:spacing w:line="312" w:lineRule="auto"/>
              <w:textAlignment w:val="auto"/>
              <w:rPr>
                <w:rFonts w:hint="eastAsia" w:ascii="宋体" w:hAnsi="宋体" w:eastAsia="宋体" w:cs="宋体"/>
                <w:bCs w:val="0"/>
                <w:color w:val="auto"/>
                <w:spacing w:val="0"/>
                <w:kern w:val="2"/>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4、环境和安全项目资金及时支付率100%</w:t>
            </w:r>
            <w:r>
              <w:rPr>
                <w:rFonts w:hint="eastAsia" w:ascii="宋体" w:hAnsi="宋体" w:eastAsia="宋体" w:cs="宋体"/>
                <w:bCs w:val="0"/>
                <w:color w:val="auto"/>
                <w:spacing w:val="0"/>
                <w:kern w:val="2"/>
                <w:sz w:val="21"/>
                <w:szCs w:val="21"/>
                <w:highlight w:val="none"/>
                <w:lang w:val="en-US" w:eastAsia="zh-CN" w:bidi="ar"/>
              </w:rPr>
              <w:tab/>
            </w:r>
            <w:r>
              <w:rPr>
                <w:rFonts w:hint="eastAsia" w:ascii="宋体" w:hAnsi="宋体" w:eastAsia="宋体" w:cs="宋体"/>
                <w:bCs w:val="0"/>
                <w:color w:val="auto"/>
                <w:spacing w:val="0"/>
                <w:kern w:val="2"/>
                <w:sz w:val="21"/>
                <w:szCs w:val="21"/>
                <w:highlight w:val="none"/>
                <w:lang w:val="en-US" w:eastAsia="zh-CN" w:bidi="ar"/>
              </w:rPr>
              <w:t>实测：100%</w:t>
            </w:r>
          </w:p>
          <w:p>
            <w:pPr>
              <w:keepNext w:val="0"/>
              <w:keepLines w:val="0"/>
              <w:pageBreakBefore w:val="0"/>
              <w:kinsoku/>
              <w:wordWrap/>
              <w:overflowPunct/>
              <w:topLinePunct w:val="0"/>
              <w:autoSpaceDE/>
              <w:autoSpaceDN/>
              <w:bidi w:val="0"/>
              <w:adjustRightInd/>
              <w:snapToGrid/>
              <w:spacing w:line="312" w:lineRule="auto"/>
              <w:ind w:right="-107" w:rightChars="-51"/>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环境目标</w:t>
            </w:r>
            <w:r>
              <w:rPr>
                <w:rFonts w:hint="eastAsia" w:ascii="宋体" w:hAnsi="宋体" w:eastAsia="宋体" w:cs="宋体"/>
                <w:color w:val="auto"/>
                <w:sz w:val="21"/>
                <w:szCs w:val="21"/>
                <w:lang w:bidi="ar"/>
              </w:rPr>
              <w:t>达到要求。</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sz w:val="21"/>
                <w:szCs w:val="21"/>
                <w:lang w:bidi="ar"/>
              </w:rPr>
              <w:t>查，公司编制了环境管理实施方案：制定、执行程序或作业文件；加强监测和测量；培训与教育；应急响应。</w:t>
            </w:r>
          </w:p>
        </w:tc>
        <w:tc>
          <w:tcPr>
            <w:tcW w:w="1261" w:type="dxa"/>
          </w:tcPr>
          <w:p>
            <w:pPr>
              <w:keepNext w:val="0"/>
              <w:keepLines w:val="0"/>
              <w:pageBreakBefore w:val="0"/>
              <w:kinsoku/>
              <w:wordWrap/>
              <w:overflowPunct/>
              <w:topLinePunct w:val="0"/>
              <w:bidi w:val="0"/>
              <w:snapToGrid/>
              <w:spacing w:line="312" w:lineRule="auto"/>
              <w:textAlignment w:val="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能力</w:t>
            </w:r>
            <w:r>
              <w:rPr>
                <w:rFonts w:hint="eastAsia" w:ascii="宋体" w:hAnsi="宋体" w:cs="Times New Roman"/>
                <w:color w:val="auto"/>
                <w:sz w:val="21"/>
                <w:szCs w:val="21"/>
                <w:lang w:val="en-US" w:eastAsia="zh-CN"/>
              </w:rPr>
              <w:t>（上次不符合项验证）</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7.2 </w:t>
            </w:r>
          </w:p>
        </w:tc>
        <w:tc>
          <w:tcPr>
            <w:tcW w:w="10328" w:type="dxa"/>
            <w:vAlign w:val="top"/>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公司确定了从事的工作影响环境管理体系绩效和有效性且在公司控制范围内的人员所必要的能力，这些能力主要是基于适当的教育、培训或经历等。</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---公司对每个从事影响产品符合性要求及从事的工作影响环境管理体系绩效和有效性的工作人员的能力进行识别，制定培训制度、有计划有目的、系统地提供培训以满足这些需求。</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查人员资质：</w:t>
            </w:r>
            <w:r>
              <w:rPr>
                <w:rFonts w:hint="eastAsia" w:ascii="宋体" w:hAnsi="宋体" w:eastAsia="宋体" w:cs="宋体"/>
                <w:color w:val="auto"/>
                <w:sz w:val="21"/>
                <w:szCs w:val="21"/>
                <w:lang w:val="en-US" w:eastAsia="zh-CN"/>
              </w:rPr>
              <w:t>组织暂无人员资质要求。</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w:t>
            </w:r>
            <w:r>
              <w:rPr>
                <w:rFonts w:hint="eastAsia" w:ascii="宋体" w:hAnsi="宋体" w:eastAsia="宋体" w:cs="宋体"/>
                <w:color w:val="auto"/>
                <w:sz w:val="21"/>
                <w:szCs w:val="21"/>
                <w:lang w:val="en-US" w:eastAsia="zh-CN"/>
              </w:rPr>
              <w:t>2022年度</w:t>
            </w:r>
            <w:r>
              <w:rPr>
                <w:rFonts w:hint="eastAsia" w:ascii="宋体" w:hAnsi="宋体" w:eastAsia="宋体" w:cs="宋体"/>
                <w:color w:val="auto"/>
                <w:sz w:val="21"/>
                <w:szCs w:val="21"/>
              </w:rPr>
              <w:t>培训计划和培训记录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计划培训8次，已培训8次</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04培训内容：管理体系标准及要求培训。</w:t>
            </w:r>
            <w:r>
              <w:rPr>
                <w:rFonts w:hint="eastAsia" w:ascii="宋体" w:hAnsi="宋体" w:eastAsia="宋体" w:cs="宋体"/>
                <w:color w:val="auto"/>
                <w:sz w:val="21"/>
                <w:szCs w:val="21"/>
              </w:rPr>
              <w:t>培训教师：</w:t>
            </w:r>
            <w:r>
              <w:rPr>
                <w:rFonts w:hint="eastAsia" w:ascii="宋体" w:hAnsi="宋体" w:eastAsia="宋体" w:cs="宋体"/>
                <w:color w:val="auto"/>
                <w:sz w:val="21"/>
                <w:szCs w:val="21"/>
                <w:lang w:val="en-US" w:eastAsia="zh-CN"/>
              </w:rPr>
              <w:t>陈</w:t>
            </w:r>
            <w:r>
              <w:rPr>
                <w:rFonts w:hint="eastAsia" w:ascii="宋体" w:hAnsi="宋体" w:eastAsia="宋体" w:cs="宋体"/>
                <w:color w:val="auto"/>
                <w:sz w:val="21"/>
                <w:szCs w:val="21"/>
              </w:rPr>
              <w:t>老师，参加培训人员</w:t>
            </w:r>
            <w:r>
              <w:rPr>
                <w:rFonts w:hint="eastAsia" w:ascii="宋体" w:hAnsi="宋体" w:eastAsia="宋体" w:cs="宋体"/>
                <w:color w:val="auto"/>
                <w:sz w:val="21"/>
                <w:szCs w:val="21"/>
                <w:lang w:val="en-US" w:eastAsia="zh-CN"/>
              </w:rPr>
              <w:t>：公司全体人员</w:t>
            </w:r>
            <w:r>
              <w:rPr>
                <w:rFonts w:hint="eastAsia" w:ascii="宋体" w:hAnsi="宋体" w:eastAsia="宋体" w:cs="宋体"/>
                <w:color w:val="auto"/>
                <w:sz w:val="21"/>
                <w:szCs w:val="21"/>
              </w:rPr>
              <w:t>。培训效果评价：</w:t>
            </w:r>
            <w:r>
              <w:rPr>
                <w:rFonts w:hint="eastAsia" w:ascii="宋体" w:hAnsi="宋体" w:eastAsia="宋体" w:cs="宋体"/>
                <w:color w:val="auto"/>
                <w:sz w:val="21"/>
                <w:szCs w:val="21"/>
                <w:lang w:val="en-US" w:eastAsia="zh-CN"/>
              </w:rPr>
              <w:t>员掌握标准基本知识、</w:t>
            </w:r>
            <w:r>
              <w:rPr>
                <w:rFonts w:hint="eastAsia" w:ascii="宋体" w:hAnsi="宋体" w:eastAsia="宋体" w:cs="宋体"/>
                <w:color w:val="auto"/>
                <w:sz w:val="21"/>
                <w:szCs w:val="21"/>
              </w:rPr>
              <w:t>培训效果较好、培训有效。评价人：</w:t>
            </w:r>
            <w:r>
              <w:rPr>
                <w:rFonts w:hint="eastAsia" w:ascii="宋体" w:hAnsi="宋体" w:eastAsia="宋体" w:cs="宋体"/>
                <w:color w:val="auto"/>
                <w:sz w:val="21"/>
                <w:szCs w:val="21"/>
                <w:lang w:val="en-US" w:eastAsia="zh-CN"/>
              </w:rPr>
              <w:t>陈老师。</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11培训内容：消防知识及应急预案</w:t>
            </w:r>
            <w:r>
              <w:rPr>
                <w:rFonts w:hint="eastAsia" w:ascii="宋体" w:hAnsi="宋体" w:eastAsia="宋体" w:cs="宋体"/>
                <w:color w:val="auto"/>
                <w:sz w:val="21"/>
                <w:szCs w:val="21"/>
                <w:highlight w:val="none"/>
              </w:rPr>
              <w:t>培训,培训教师：</w:t>
            </w:r>
            <w:r>
              <w:rPr>
                <w:rFonts w:hint="eastAsia" w:ascii="宋体" w:hAnsi="宋体" w:eastAsia="宋体" w:cs="宋体"/>
                <w:color w:val="auto"/>
                <w:sz w:val="21"/>
                <w:szCs w:val="21"/>
                <w:highlight w:val="none"/>
                <w:lang w:val="en-US" w:eastAsia="zh-CN"/>
              </w:rPr>
              <w:t>龙继承</w:t>
            </w:r>
            <w:r>
              <w:rPr>
                <w:rFonts w:hint="eastAsia" w:ascii="宋体" w:hAnsi="宋体" w:eastAsia="宋体" w:cs="宋体"/>
                <w:color w:val="auto"/>
                <w:sz w:val="21"/>
                <w:szCs w:val="21"/>
                <w:highlight w:val="none"/>
              </w:rPr>
              <w:t>，参加培训人员：</w:t>
            </w:r>
            <w:r>
              <w:rPr>
                <w:rFonts w:hint="eastAsia" w:ascii="宋体" w:hAnsi="宋体" w:eastAsia="宋体" w:cs="宋体"/>
                <w:color w:val="auto"/>
                <w:szCs w:val="21"/>
                <w:highlight w:val="none"/>
                <w:lang w:val="en-US" w:eastAsia="zh-CN"/>
              </w:rPr>
              <w:t>参加演练人员。</w:t>
            </w:r>
            <w:r>
              <w:rPr>
                <w:rFonts w:hint="eastAsia" w:ascii="宋体" w:hAnsi="宋体" w:eastAsia="宋体" w:cs="宋体"/>
                <w:color w:val="auto"/>
                <w:szCs w:val="21"/>
                <w:highlight w:val="none"/>
              </w:rPr>
              <w:t>培训</w:t>
            </w:r>
            <w:r>
              <w:rPr>
                <w:rFonts w:hint="eastAsia" w:ascii="宋体" w:hAnsi="宋体" w:eastAsia="宋体" w:cs="宋体"/>
                <w:color w:val="auto"/>
                <w:szCs w:val="21"/>
                <w:highlight w:val="none"/>
                <w:lang w:val="en-US" w:eastAsia="zh-CN"/>
              </w:rPr>
              <w:t>评价</w:t>
            </w:r>
            <w:r>
              <w:rPr>
                <w:rFonts w:hint="eastAsia" w:ascii="宋体" w:hAnsi="宋体" w:eastAsia="宋体" w:cs="宋体"/>
                <w:color w:val="auto"/>
                <w:szCs w:val="21"/>
                <w:highlight w:val="none"/>
              </w:rPr>
              <w:t>：培训后经口头提问考核，参加人员均能回答正确，达到培训的目的，培训具有有效性。</w:t>
            </w:r>
            <w:r>
              <w:rPr>
                <w:rFonts w:hint="eastAsia" w:ascii="宋体" w:hAnsi="宋体" w:eastAsia="宋体" w:cs="宋体"/>
                <w:color w:val="auto"/>
                <w:szCs w:val="21"/>
                <w:highlight w:val="none"/>
                <w:lang w:val="en-US" w:eastAsia="zh-CN"/>
              </w:rPr>
              <w:t>评价人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龙继承。</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其余培训均按计划完成。</w:t>
            </w:r>
            <w:r>
              <w:rPr>
                <w:rFonts w:hint="eastAsia" w:ascii="宋体" w:hAnsi="宋体" w:eastAsia="宋体" w:cs="宋体"/>
                <w:color w:val="auto"/>
                <w:sz w:val="21"/>
                <w:szCs w:val="21"/>
                <w:lang w:val="en-US" w:eastAsia="zh-CN"/>
              </w:rPr>
              <w:t>上一次外审不符合未能提供培训计划里的部分培训记录表，经本次现场验证无类似情况发生，整改有效。</w:t>
            </w:r>
          </w:p>
        </w:tc>
        <w:tc>
          <w:tcPr>
            <w:tcW w:w="1261" w:type="dxa"/>
            <w:vAlign w:val="top"/>
          </w:tcPr>
          <w:p>
            <w:pPr>
              <w:rPr>
                <w:color w:val="auto"/>
              </w:rPr>
            </w:pPr>
            <w:r>
              <w:rPr>
                <w:rFonts w:hint="eastAsia"/>
                <w:color w:val="auto"/>
                <w:lang w:val="en-US" w:eastAsia="zh-CN"/>
              </w:rPr>
              <w:t>符合</w:t>
            </w:r>
          </w:p>
          <w:p>
            <w:pPr>
              <w:rPr>
                <w:color w:val="auto"/>
              </w:rPr>
            </w:pPr>
          </w:p>
          <w:p>
            <w:pPr>
              <w:rPr>
                <w:rFonts w:hint="default"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color w:val="auto"/>
                <w:sz w:val="21"/>
                <w:szCs w:val="21"/>
              </w:rPr>
            </w:pPr>
            <w:r>
              <w:rPr>
                <w:rFonts w:hint="eastAsia" w:ascii="宋体" w:hAnsi="宋体"/>
                <w:color w:val="auto"/>
                <w:sz w:val="21"/>
                <w:szCs w:val="21"/>
              </w:rPr>
              <w:t>运行的策划与控制</w:t>
            </w:r>
          </w:p>
          <w:p>
            <w:pPr>
              <w:adjustRightInd w:val="0"/>
              <w:snapToGrid w:val="0"/>
              <w:jc w:val="left"/>
              <w:rPr>
                <w:color w:val="auto"/>
              </w:rPr>
            </w:pPr>
          </w:p>
        </w:tc>
        <w:tc>
          <w:tcPr>
            <w:tcW w:w="960" w:type="dxa"/>
            <w:vAlign w:val="top"/>
          </w:tcPr>
          <w:p>
            <w:pPr>
              <w:adjustRightInd w:val="0"/>
              <w:snapToGrid w:val="0"/>
              <w:rPr>
                <w:color w:val="auto"/>
              </w:rPr>
            </w:pPr>
            <w:r>
              <w:rPr>
                <w:rFonts w:hint="eastAsia" w:ascii="宋体" w:hAnsi="宋体"/>
                <w:color w:val="auto"/>
                <w:sz w:val="21"/>
                <w:szCs w:val="21"/>
              </w:rPr>
              <w:t>8.1</w:t>
            </w:r>
          </w:p>
        </w:tc>
        <w:tc>
          <w:tcPr>
            <w:tcW w:w="10328" w:type="dxa"/>
            <w:vAlign w:val="top"/>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◆组织制定了环境运行相关的控制程序及相应的控制准则，如废弃物排放控制、相关方环境安全管理办法、消防管理制度、火灾预防应急准备和响应管理等过程的运行准则。</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◆根据过程的运行准则，组织实施资源能源的消耗控制、火灾预防等过程的控制，避免和减少了环境的损失。</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◆消防设施检查、节能降耗运行检查、火灾预防运行检查等关键运行控制信息的证据都以记录或文件的方式保留。</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 xml:space="preserve"> ◆抽查环</w:t>
            </w:r>
            <w:r>
              <w:rPr>
                <w:rFonts w:hint="eastAsia" w:ascii="宋体" w:hAnsi="宋体" w:eastAsia="宋体" w:cs="宋体"/>
                <w:color w:val="auto"/>
                <w:sz w:val="21"/>
                <w:szCs w:val="21"/>
                <w:highlight w:val="none"/>
              </w:rPr>
              <w:t>境运行的策划与控制实施</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1）固体废弃物排放的管控：</w:t>
            </w:r>
          </w:p>
          <w:p>
            <w:pPr>
              <w:pStyle w:val="16"/>
              <w:keepNext w:val="0"/>
              <w:keepLines w:val="0"/>
              <w:pageBreakBefore w:val="0"/>
              <w:kinsoku/>
              <w:wordWrap/>
              <w:overflowPunct/>
              <w:topLinePunct w:val="0"/>
              <w:autoSpaceDE/>
              <w:autoSpaceDN/>
              <w:bidi w:val="0"/>
              <w:adjustRightInd/>
              <w:snapToGrid/>
              <w:spacing w:line="312" w:lineRule="auto"/>
              <w:ind w:firstLine="0" w:firstLineChars="0"/>
              <w:textAlignment w:val="auto"/>
              <w:rPr>
                <w:rFonts w:hint="eastAsia" w:ascii="宋体" w:hAnsi="宋体" w:eastAsia="宋体" w:cs="宋体"/>
                <w:color w:val="auto"/>
                <w:szCs w:val="21"/>
                <w:highlight w:val="yellow"/>
                <w:lang w:eastAsia="zh-CN"/>
              </w:rPr>
            </w:pPr>
            <w:r>
              <w:rPr>
                <w:rFonts w:hint="eastAsia" w:ascii="宋体" w:hAnsi="宋体" w:eastAsia="宋体" w:cs="宋体"/>
                <w:color w:val="auto"/>
                <w:szCs w:val="21"/>
                <w:highlight w:val="none"/>
              </w:rPr>
              <w:t xml:space="preserve">   制定并实施</w:t>
            </w:r>
            <w:r>
              <w:rPr>
                <w:rFonts w:hint="eastAsia" w:ascii="宋体" w:hAnsi="宋体" w:eastAsia="宋体" w:cs="宋体"/>
                <w:bCs/>
                <w:color w:val="auto"/>
                <w:szCs w:val="21"/>
                <w:highlight w:val="none"/>
              </w:rPr>
              <w:t>《</w:t>
            </w:r>
            <w:r>
              <w:rPr>
                <w:rFonts w:hint="eastAsia" w:ascii="宋体" w:hAnsi="宋体" w:eastAsia="宋体" w:cs="宋体"/>
                <w:i w:val="0"/>
                <w:color w:val="auto"/>
                <w:kern w:val="0"/>
                <w:sz w:val="21"/>
                <w:szCs w:val="21"/>
                <w:u w:val="none"/>
                <w:lang w:val="en-US" w:eastAsia="zh-CN" w:bidi="ar"/>
              </w:rPr>
              <w:t xml:space="preserve"> 固体废弃物管理规定</w:t>
            </w:r>
            <w:r>
              <w:rPr>
                <w:rFonts w:hint="eastAsia" w:ascii="宋体" w:hAnsi="宋体" w:eastAsia="宋体" w:cs="宋体"/>
                <w:bCs/>
                <w:color w:val="auto"/>
                <w:szCs w:val="21"/>
                <w:highlight w:val="none"/>
              </w:rPr>
              <w:t>》中固体废弃物控制要求</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综合部</w:t>
            </w:r>
            <w:r>
              <w:rPr>
                <w:rFonts w:hint="eastAsia" w:ascii="宋体" w:hAnsi="宋体" w:eastAsia="宋体" w:cs="宋体"/>
                <w:color w:val="auto"/>
                <w:szCs w:val="21"/>
                <w:highlight w:val="none"/>
              </w:rPr>
              <w:t>负责废弃物的分类、收集、保管、</w:t>
            </w:r>
            <w:r>
              <w:rPr>
                <w:rFonts w:hint="eastAsia" w:ascii="宋体" w:hAnsi="宋体" w:eastAsia="宋体" w:cs="宋体"/>
                <w:color w:val="auto"/>
                <w:szCs w:val="21"/>
                <w:highlight w:val="none"/>
                <w:lang w:val="en-US" w:eastAsia="zh-CN"/>
              </w:rPr>
              <w:t>由物流园统一处理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办公区域</w:t>
            </w:r>
            <w:r>
              <w:rPr>
                <w:rFonts w:hint="eastAsia" w:ascii="宋体" w:hAnsi="宋体" w:eastAsia="宋体" w:cs="宋体"/>
                <w:color w:val="auto"/>
                <w:szCs w:val="21"/>
              </w:rPr>
              <w:t>分设：可回收一般废弃物、不可回收一般废弃物收集容器，员工能按要求分类放置固体废弃物。</w:t>
            </w:r>
          </w:p>
          <w:p>
            <w:pPr>
              <w:pStyle w:val="16"/>
              <w:keepNext w:val="0"/>
              <w:keepLines w:val="0"/>
              <w:pageBreakBefore w:val="0"/>
              <w:kinsoku/>
              <w:wordWrap/>
              <w:overflowPunct/>
              <w:topLinePunct w:val="0"/>
              <w:autoSpaceDE/>
              <w:autoSpaceDN/>
              <w:bidi w:val="0"/>
              <w:adjustRightInd/>
              <w:snapToGrid/>
              <w:spacing w:line="312" w:lineRule="auto"/>
              <w:ind w:firstLine="0" w:firstLineChars="0"/>
              <w:textAlignment w:val="auto"/>
              <w:rPr>
                <w:rFonts w:hint="eastAsia" w:ascii="宋体" w:hAnsi="宋体" w:eastAsia="宋体" w:cs="宋体"/>
                <w:color w:val="auto"/>
                <w:szCs w:val="21"/>
              </w:rPr>
            </w:pPr>
            <w:r>
              <w:rPr>
                <w:rFonts w:hint="eastAsia" w:ascii="宋体" w:hAnsi="宋体" w:eastAsia="宋体" w:cs="宋体"/>
                <w:color w:val="auto"/>
                <w:szCs w:val="21"/>
              </w:rPr>
              <w:t>2）资源、能源消耗管控：</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负责人讲，公司资源、能源节约有相关规定措施，如：加强宣传、主管检查督导、专人定期统计跟进。</w:t>
            </w:r>
            <w:r>
              <w:rPr>
                <w:rFonts w:hint="eastAsia" w:ascii="宋体" w:hAnsi="宋体" w:eastAsia="宋体" w:cs="宋体"/>
                <w:color w:val="auto"/>
                <w:sz w:val="21"/>
                <w:szCs w:val="21"/>
                <w:lang w:val="en-US" w:eastAsia="zh-CN"/>
              </w:rPr>
              <w:t>有</w:t>
            </w:r>
            <w:r>
              <w:rPr>
                <w:rFonts w:hint="eastAsia" w:ascii="宋体" w:hAnsi="宋体" w:eastAsia="宋体" w:cs="宋体"/>
                <w:color w:val="auto"/>
                <w:sz w:val="21"/>
                <w:szCs w:val="21"/>
              </w:rPr>
              <w:t>水、电、气等使用的场所，均有节约资源、能源的宣导标语。未发现资源、能源过度消耗或浪费的情形。公司制定了节约资源、能源目标，除日常监督落实外，每月一次集中统计跟进。记录显示：基本达成目标。</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3）火灾预防</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制定并实施</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eastAsia="zh-CN"/>
              </w:rPr>
              <w:t>应急准备与响应控制程序</w:t>
            </w:r>
            <w:r>
              <w:rPr>
                <w:rFonts w:hint="eastAsia" w:ascii="宋体" w:hAnsi="宋体" w:eastAsia="宋体" w:cs="宋体"/>
                <w:bCs/>
                <w:color w:val="auto"/>
                <w:sz w:val="21"/>
                <w:szCs w:val="21"/>
              </w:rPr>
              <w:t>》</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lang w:val="en-US" w:eastAsia="zh-CN"/>
              </w:rPr>
              <w:t>查见综合办公区域</w:t>
            </w:r>
            <w:r>
              <w:rPr>
                <w:rFonts w:hint="eastAsia" w:ascii="宋体" w:hAnsi="宋体" w:eastAsia="宋体" w:cs="宋体"/>
                <w:color w:val="auto"/>
                <w:sz w:val="21"/>
                <w:szCs w:val="21"/>
              </w:rPr>
              <w:t>，按要求配备</w:t>
            </w:r>
            <w:r>
              <w:rPr>
                <w:rFonts w:hint="eastAsia" w:ascii="宋体" w:hAnsi="宋体" w:eastAsia="宋体" w:cs="宋体"/>
                <w:bCs/>
                <w:color w:val="auto"/>
                <w:sz w:val="21"/>
                <w:szCs w:val="21"/>
              </w:rPr>
              <w:t>灭火器</w:t>
            </w:r>
            <w:r>
              <w:rPr>
                <w:rFonts w:hint="eastAsia" w:ascii="宋体" w:hAnsi="宋体" w:eastAsia="宋体" w:cs="宋体"/>
                <w:color w:val="auto"/>
                <w:sz w:val="21"/>
                <w:szCs w:val="21"/>
              </w:rPr>
              <w:t>并每月点检记录；对可能产生火灾隐患的区域予以重点排查，若发现问题及时上报、整改。</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经确认：实</w:t>
            </w:r>
            <w:r>
              <w:rPr>
                <w:rFonts w:hint="eastAsia" w:ascii="宋体" w:hAnsi="宋体" w:eastAsia="宋体" w:cs="宋体"/>
                <w:color w:val="auto"/>
                <w:sz w:val="21"/>
                <w:szCs w:val="21"/>
                <w:highlight w:val="none"/>
              </w:rPr>
              <w:t>物及其状态、人员行为及相关记录均符合要求。</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Cs w:val="21"/>
                <w:highlight w:val="none"/>
                <w:lang w:val="en-US" w:eastAsia="zh-CN"/>
              </w:rPr>
              <w:t>查看：</w:t>
            </w:r>
            <w:r>
              <w:rPr>
                <w:rFonts w:hint="eastAsia" w:ascii="宋体" w:hAnsi="宋体" w:eastAsia="宋体" w:cs="宋体"/>
                <w:color w:val="auto"/>
              </w:rPr>
              <w:t>办公环节的主要固废为：废纸、废办公用品、以及生活垃圾等。现采取集中收集，交由</w:t>
            </w:r>
            <w:r>
              <w:rPr>
                <w:rFonts w:hint="eastAsia" w:ascii="宋体" w:hAnsi="宋体" w:eastAsia="宋体" w:cs="宋体"/>
                <w:color w:val="auto"/>
                <w:lang w:val="en-US" w:eastAsia="zh-CN"/>
              </w:rPr>
              <w:t>市政环卫统一</w:t>
            </w:r>
            <w:r>
              <w:rPr>
                <w:rFonts w:hint="eastAsia" w:ascii="宋体" w:hAnsi="宋体" w:eastAsia="宋体" w:cs="宋体"/>
                <w:color w:val="auto"/>
              </w:rPr>
              <w:t>处理。在办公公共区域垃圾桶标识明确</w:t>
            </w:r>
            <w:r>
              <w:rPr>
                <w:rFonts w:hint="eastAsia" w:ascii="宋体" w:hAnsi="宋体" w:eastAsia="宋体" w:cs="宋体"/>
                <w:color w:val="auto"/>
                <w:szCs w:val="21"/>
                <w:highlight w:val="none"/>
                <w:lang w:val="en-US" w:eastAsia="zh-CN"/>
              </w:rPr>
              <w:t>。</w:t>
            </w:r>
          </w:p>
        </w:tc>
        <w:tc>
          <w:tcPr>
            <w:tcW w:w="1261"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应急准备和响应</w:t>
            </w:r>
          </w:p>
        </w:tc>
        <w:tc>
          <w:tcPr>
            <w:tcW w:w="960" w:type="dxa"/>
            <w:vAlign w:val="top"/>
          </w:tcPr>
          <w:p>
            <w:pPr>
              <w:rPr>
                <w:color w:val="auto"/>
              </w:rPr>
            </w:pPr>
            <w:r>
              <w:rPr>
                <w:rFonts w:hint="eastAsia" w:ascii="宋体" w:hAnsi="宋体" w:cs="新宋体"/>
                <w:color w:val="auto"/>
                <w:sz w:val="21"/>
                <w:szCs w:val="21"/>
              </w:rPr>
              <w:t>8.2</w:t>
            </w:r>
          </w:p>
        </w:tc>
        <w:tc>
          <w:tcPr>
            <w:tcW w:w="10328" w:type="dxa"/>
            <w:vAlign w:val="top"/>
          </w:tcPr>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w:t>
            </w:r>
            <w:r>
              <w:rPr>
                <w:rFonts w:hint="eastAsia" w:ascii="宋体" w:hAnsi="宋体" w:eastAsia="宋体" w:cs="宋体"/>
                <w:color w:val="auto"/>
                <w:sz w:val="21"/>
                <w:szCs w:val="21"/>
                <w:lang w:eastAsia="zh-CN" w:bidi="ar"/>
              </w:rPr>
              <w:t>应急准备与响应控制程序</w:t>
            </w:r>
            <w:r>
              <w:rPr>
                <w:rFonts w:hint="eastAsia" w:ascii="宋体" w:hAnsi="宋体" w:eastAsia="宋体" w:cs="宋体"/>
                <w:color w:val="auto"/>
                <w:sz w:val="21"/>
                <w:szCs w:val="21"/>
                <w:lang w:bidi="ar"/>
              </w:rPr>
              <w:t>》、《消防火灾应急预案》等。</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查见：消防演练实况记录：</w:t>
            </w:r>
            <w:r>
              <w:rPr>
                <w:rFonts w:hint="eastAsia" w:ascii="宋体" w:hAnsi="宋体" w:eastAsia="宋体" w:cs="宋体"/>
                <w:color w:val="auto"/>
                <w:sz w:val="21"/>
                <w:szCs w:val="21"/>
                <w:lang w:eastAsia="zh-CN" w:bidi="ar"/>
              </w:rPr>
              <w:t>202</w:t>
            </w:r>
            <w:r>
              <w:rPr>
                <w:rFonts w:hint="eastAsia" w:ascii="宋体" w:hAnsi="宋体" w:eastAsia="宋体" w:cs="宋体"/>
                <w:color w:val="auto"/>
                <w:sz w:val="21"/>
                <w:szCs w:val="21"/>
                <w:lang w:val="en-US" w:eastAsia="zh-CN" w:bidi="ar"/>
              </w:rPr>
              <w:t>2</w:t>
            </w:r>
            <w:r>
              <w:rPr>
                <w:rFonts w:hint="eastAsia" w:ascii="宋体" w:hAnsi="宋体" w:eastAsia="宋体" w:cs="宋体"/>
                <w:color w:val="auto"/>
                <w:sz w:val="21"/>
                <w:szCs w:val="21"/>
                <w:lang w:eastAsia="zh-CN" w:bidi="ar"/>
              </w:rPr>
              <w:t>年0</w:t>
            </w:r>
            <w:r>
              <w:rPr>
                <w:rFonts w:hint="eastAsia" w:ascii="宋体" w:hAnsi="宋体" w:eastAsia="宋体" w:cs="宋体"/>
                <w:color w:val="auto"/>
                <w:sz w:val="21"/>
                <w:szCs w:val="21"/>
                <w:lang w:val="en-US" w:eastAsia="zh-CN" w:bidi="ar"/>
              </w:rPr>
              <w:t>7</w:t>
            </w:r>
            <w:r>
              <w:rPr>
                <w:rFonts w:hint="eastAsia" w:ascii="宋体" w:hAnsi="宋体" w:eastAsia="宋体" w:cs="宋体"/>
                <w:color w:val="auto"/>
                <w:sz w:val="21"/>
                <w:szCs w:val="21"/>
                <w:lang w:eastAsia="zh-CN" w:bidi="ar"/>
              </w:rPr>
              <w:t>月</w:t>
            </w:r>
            <w:r>
              <w:rPr>
                <w:rFonts w:hint="eastAsia" w:ascii="宋体" w:hAnsi="宋体" w:eastAsia="宋体" w:cs="宋体"/>
                <w:color w:val="auto"/>
                <w:sz w:val="21"/>
                <w:szCs w:val="21"/>
                <w:lang w:val="en-US" w:eastAsia="zh-CN" w:bidi="ar"/>
              </w:rPr>
              <w:t>11</w:t>
            </w:r>
            <w:r>
              <w:rPr>
                <w:rFonts w:hint="eastAsia" w:ascii="宋体" w:hAnsi="宋体" w:eastAsia="宋体" w:cs="宋体"/>
                <w:color w:val="auto"/>
                <w:sz w:val="21"/>
                <w:szCs w:val="21"/>
                <w:lang w:eastAsia="zh-CN" w:bidi="ar"/>
              </w:rPr>
              <w:t>日</w:t>
            </w:r>
            <w:r>
              <w:rPr>
                <w:rFonts w:hint="eastAsia" w:ascii="宋体" w:hAnsi="宋体" w:eastAsia="宋体" w:cs="宋体"/>
                <w:color w:val="auto"/>
                <w:sz w:val="21"/>
                <w:szCs w:val="21"/>
                <w:lang w:bidi="ar"/>
              </w:rPr>
              <w:t>，</w:t>
            </w:r>
            <w:r>
              <w:rPr>
                <w:rFonts w:hint="eastAsia" w:ascii="宋体" w:hAnsi="宋体" w:eastAsia="宋体" w:cs="宋体"/>
                <w:color w:val="auto"/>
                <w:sz w:val="21"/>
                <w:szCs w:val="21"/>
                <w:lang w:val="en-US" w:eastAsia="zh-CN" w:bidi="ar"/>
              </w:rPr>
              <w:t>由</w:t>
            </w:r>
            <w:r>
              <w:rPr>
                <w:rFonts w:hint="eastAsia" w:ascii="宋体" w:hAnsi="宋体" w:eastAsia="宋体" w:cs="宋体"/>
                <w:color w:val="auto"/>
                <w:sz w:val="21"/>
                <w:szCs w:val="21"/>
                <w:lang w:eastAsia="zh-CN" w:bidi="ar"/>
              </w:rPr>
              <w:t>综合部</w:t>
            </w:r>
            <w:r>
              <w:rPr>
                <w:rFonts w:hint="eastAsia" w:ascii="宋体" w:hAnsi="宋体" w:eastAsia="宋体" w:cs="宋体"/>
                <w:color w:val="auto"/>
                <w:sz w:val="21"/>
                <w:szCs w:val="21"/>
                <w:lang w:val="en-US" w:eastAsia="zh-CN" w:bidi="ar"/>
              </w:rPr>
              <w:t>组织在</w:t>
            </w:r>
            <w:r>
              <w:rPr>
                <w:rFonts w:hint="eastAsia" w:ascii="宋体" w:hAnsi="宋体" w:eastAsia="宋体" w:cs="宋体"/>
                <w:color w:val="auto"/>
                <w:sz w:val="21"/>
                <w:szCs w:val="21"/>
                <w:lang w:eastAsia="zh-CN" w:bidi="ar"/>
              </w:rPr>
              <w:t>办公</w:t>
            </w:r>
            <w:r>
              <w:rPr>
                <w:rFonts w:hint="eastAsia" w:ascii="宋体" w:hAnsi="宋体" w:eastAsia="宋体" w:cs="宋体"/>
                <w:color w:val="auto"/>
                <w:sz w:val="21"/>
                <w:szCs w:val="21"/>
                <w:lang w:bidi="ar"/>
              </w:rPr>
              <w:t>楼空旷处进行了火灾事故应急预案现场演练，取得了圆满成功。</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查，能提供有演练预案，演练计划等资料。通过演练，公司员工的安全逃生意识有明显的改善和较大提高。使员工掌握了安全逃生的方式和路径，员工能按预案执行和获救等。</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应急准备：在</w:t>
            </w:r>
            <w:r>
              <w:rPr>
                <w:rFonts w:hint="eastAsia" w:ascii="宋体" w:hAnsi="宋体" w:eastAsia="宋体" w:cs="宋体"/>
                <w:color w:val="auto"/>
                <w:sz w:val="21"/>
                <w:szCs w:val="21"/>
                <w:lang w:val="en-US" w:eastAsia="zh-CN" w:bidi="ar"/>
              </w:rPr>
              <w:t>行政</w:t>
            </w:r>
            <w:r>
              <w:rPr>
                <w:rFonts w:hint="eastAsia" w:ascii="宋体" w:hAnsi="宋体" w:eastAsia="宋体" w:cs="宋体"/>
                <w:color w:val="auto"/>
                <w:sz w:val="21"/>
                <w:szCs w:val="21"/>
                <w:lang w:bidi="ar"/>
              </w:rPr>
              <w:t>公司办公区域，配置有灭火器，符合管理要求。</w:t>
            </w:r>
          </w:p>
        </w:tc>
        <w:tc>
          <w:tcPr>
            <w:tcW w:w="1261" w:type="dxa"/>
          </w:tcPr>
          <w:p>
            <w:pPr>
              <w:spacing w:line="400" w:lineRule="atLeast"/>
              <w:ind w:firstLine="420" w:firstLineChars="200"/>
              <w:rPr>
                <w:rFonts w:hint="eastAsia" w:ascii="宋体" w:hAnsi="Times New Roman" w:eastAsia="宋体" w:cs="宋体"/>
                <w:color w:val="auto"/>
                <w:sz w:val="21"/>
                <w:szCs w:val="21"/>
                <w:lang w:bidi="ar"/>
              </w:rPr>
            </w:pPr>
            <w:r>
              <w:rPr>
                <w:rFonts w:hint="eastAsia" w:ascii="宋体" w:hAnsi="Times New Roman" w:eastAsia="宋体" w:cs="宋体"/>
                <w:color w:val="auto"/>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监视、测量、分析与评估</w:t>
            </w:r>
          </w:p>
        </w:tc>
        <w:tc>
          <w:tcPr>
            <w:tcW w:w="960" w:type="dxa"/>
            <w:vAlign w:val="top"/>
          </w:tcPr>
          <w:p>
            <w:pPr>
              <w:rPr>
                <w:color w:val="auto"/>
              </w:rPr>
            </w:pPr>
            <w:r>
              <w:rPr>
                <w:rFonts w:hint="eastAsia" w:ascii="宋体" w:hAnsi="宋体" w:cs="新宋体"/>
                <w:color w:val="auto"/>
                <w:sz w:val="21"/>
                <w:szCs w:val="21"/>
              </w:rPr>
              <w:t xml:space="preserve">9.1 </w:t>
            </w:r>
          </w:p>
        </w:tc>
        <w:tc>
          <w:tcPr>
            <w:tcW w:w="10328" w:type="dxa"/>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0"/>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公司制定</w:t>
            </w:r>
            <w:r>
              <w:rPr>
                <w:rFonts w:hint="eastAsia" w:ascii="宋体" w:hAnsi="宋体" w:eastAsia="宋体" w:cs="宋体"/>
                <w:color w:val="auto"/>
                <w:sz w:val="21"/>
                <w:szCs w:val="21"/>
                <w:highlight w:val="none"/>
              </w:rPr>
              <w:t>有《</w:t>
            </w:r>
            <w:r>
              <w:rPr>
                <w:rFonts w:hint="eastAsia" w:ascii="宋体" w:hAnsi="宋体" w:eastAsia="宋体" w:cs="宋体"/>
                <w:color w:val="auto"/>
                <w:kern w:val="0"/>
                <w:szCs w:val="21"/>
              </w:rPr>
              <w:t>环境职业健康安全监视和测量控制程序》和管理文件。</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◆查公司消防设备运行检查记录表</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抽</w:t>
            </w:r>
            <w:r>
              <w:rPr>
                <w:rFonts w:hint="eastAsia" w:ascii="宋体" w:hAnsi="宋体" w:eastAsia="宋体" w:cs="宋体"/>
                <w:color w:val="auto"/>
                <w:kern w:val="0"/>
                <w:szCs w:val="21"/>
                <w:lang w:eastAsia="zh-CN"/>
              </w:rPr>
              <w:t>2022年</w:t>
            </w:r>
            <w:r>
              <w:rPr>
                <w:rFonts w:hint="eastAsia" w:ascii="宋体" w:hAnsi="宋体" w:eastAsia="宋体" w:cs="宋体"/>
                <w:color w:val="auto"/>
                <w:kern w:val="0"/>
                <w:szCs w:val="21"/>
                <w:lang w:val="en-US" w:eastAsia="zh-CN"/>
              </w:rPr>
              <w:t>10-12</w:t>
            </w:r>
            <w:r>
              <w:rPr>
                <w:rFonts w:hint="eastAsia" w:ascii="宋体" w:hAnsi="宋体" w:eastAsia="宋体" w:cs="宋体"/>
                <w:color w:val="auto"/>
                <w:kern w:val="0"/>
                <w:szCs w:val="21"/>
                <w:lang w:eastAsia="zh-CN"/>
              </w:rPr>
              <w:t>月</w:t>
            </w:r>
            <w:r>
              <w:rPr>
                <w:rFonts w:hint="eastAsia" w:ascii="宋体" w:hAnsi="宋体" w:eastAsia="宋体" w:cs="宋体"/>
                <w:color w:val="auto"/>
                <w:kern w:val="0"/>
                <w:szCs w:val="21"/>
              </w:rPr>
              <w:t>份，公司对消防器材、用电安全进行了检查，均合格。</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检查人：</w:t>
            </w:r>
            <w:r>
              <w:rPr>
                <w:rFonts w:hint="eastAsia" w:ascii="宋体" w:hAnsi="宋体" w:eastAsia="宋体" w:cs="宋体"/>
                <w:color w:val="auto"/>
                <w:kern w:val="0"/>
                <w:szCs w:val="21"/>
                <w:lang w:val="en-US" w:eastAsia="zh-CN"/>
              </w:rPr>
              <w:t>陶艳辉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查消防安全检查记录，由</w:t>
            </w:r>
            <w:r>
              <w:rPr>
                <w:rFonts w:hint="eastAsia" w:ascii="宋体" w:hAnsi="宋体" w:eastAsia="宋体" w:cs="宋体"/>
                <w:color w:val="auto"/>
                <w:kern w:val="0"/>
                <w:szCs w:val="21"/>
                <w:lang w:val="en-US" w:eastAsia="zh-CN"/>
              </w:rPr>
              <w:t>综合部</w:t>
            </w:r>
            <w:r>
              <w:rPr>
                <w:rFonts w:hint="eastAsia" w:ascii="宋体" w:hAnsi="宋体" w:eastAsia="宋体" w:cs="宋体"/>
                <w:color w:val="auto"/>
                <w:kern w:val="0"/>
                <w:szCs w:val="21"/>
              </w:rPr>
              <w:t>组织实施对公司各部门的安全消防管理进行监控检查，每月一次。</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查见《灭火器、消防栓完好率点检表》，检查人：曾小玲，检查结论：合格。</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◆查《环境体系运行检查记录》，由</w:t>
            </w:r>
            <w:r>
              <w:rPr>
                <w:rFonts w:hint="eastAsia" w:ascii="宋体" w:hAnsi="宋体" w:eastAsia="宋体" w:cs="宋体"/>
                <w:color w:val="auto"/>
                <w:kern w:val="0"/>
                <w:szCs w:val="21"/>
                <w:lang w:val="en-US" w:eastAsia="zh-CN"/>
              </w:rPr>
              <w:t>综合部</w:t>
            </w:r>
            <w:r>
              <w:rPr>
                <w:rFonts w:hint="eastAsia" w:ascii="宋体" w:hAnsi="宋体" w:eastAsia="宋体" w:cs="宋体"/>
                <w:color w:val="auto"/>
                <w:kern w:val="0"/>
                <w:szCs w:val="21"/>
              </w:rPr>
              <w:t>组织实施对</w:t>
            </w:r>
            <w:r>
              <w:rPr>
                <w:rFonts w:hint="eastAsia" w:ascii="宋体" w:hAnsi="宋体" w:eastAsia="宋体" w:cs="宋体"/>
                <w:color w:val="auto"/>
                <w:kern w:val="0"/>
                <w:szCs w:val="21"/>
                <w:lang w:val="en-US" w:eastAsia="zh-CN"/>
              </w:rPr>
              <w:t>公司各部门的水电、固废、消防、控制方案等进行监控检查，每月一次。</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0"/>
                <w:szCs w:val="21"/>
                <w:lang w:val="en-US" w:eastAsia="zh-CN"/>
              </w:rPr>
              <w:t>抽《环境及职业健康安全检查记录表》，检查项目：消防管理检查、用电检查、固废处理、文件、记录管理、管理方案落实情况等，检查结论：满足要求。检查人：曾小玲   检查日期： 2023.1.3</w:t>
            </w:r>
          </w:p>
        </w:tc>
        <w:tc>
          <w:tcPr>
            <w:tcW w:w="1261" w:type="dxa"/>
            <w:vAlign w:val="top"/>
          </w:tcPr>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符合性评估</w:t>
            </w:r>
          </w:p>
        </w:tc>
        <w:tc>
          <w:tcPr>
            <w:tcW w:w="960" w:type="dxa"/>
            <w:vAlign w:val="top"/>
          </w:tcPr>
          <w:p>
            <w:pPr>
              <w:rPr>
                <w:color w:val="auto"/>
                <w:highlight w:val="none"/>
              </w:rPr>
            </w:pPr>
            <w:r>
              <w:rPr>
                <w:rFonts w:hint="eastAsia" w:ascii="宋体" w:hAnsi="宋体" w:cs="新宋体"/>
                <w:color w:val="auto"/>
                <w:sz w:val="21"/>
                <w:szCs w:val="21"/>
                <w:highlight w:val="none"/>
              </w:rPr>
              <w:t xml:space="preserve">9.1.2 </w:t>
            </w:r>
          </w:p>
        </w:tc>
        <w:tc>
          <w:tcPr>
            <w:tcW w:w="10328" w:type="dxa"/>
            <w:vAlign w:val="top"/>
          </w:tcPr>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----有《</w:t>
            </w:r>
            <w:r>
              <w:rPr>
                <w:rFonts w:hint="eastAsia" w:ascii="宋体" w:hAnsi="宋体" w:eastAsia="宋体" w:cs="宋体"/>
                <w:color w:val="auto"/>
                <w:lang w:eastAsia="zh-CN"/>
              </w:rPr>
              <w:t>合规性评价控制程序</w:t>
            </w:r>
            <w:r>
              <w:rPr>
                <w:rFonts w:hint="eastAsia" w:ascii="宋体" w:hAnsi="宋体" w:eastAsia="宋体" w:cs="宋体"/>
                <w:color w:val="auto"/>
              </w:rPr>
              <w:t>》，规定明确基本合理。</w:t>
            </w:r>
            <w:r>
              <w:rPr>
                <w:rFonts w:hint="eastAsia" w:ascii="宋体" w:hAnsi="宋体" w:eastAsia="宋体" w:cs="宋体"/>
                <w:color w:val="auto"/>
                <w:lang w:eastAsia="zh-CN"/>
              </w:rPr>
              <w:t>综合部</w:t>
            </w:r>
            <w:r>
              <w:rPr>
                <w:rFonts w:hint="eastAsia" w:ascii="宋体" w:hAnsi="宋体" w:eastAsia="宋体" w:cs="宋体"/>
                <w:color w:val="auto"/>
              </w:rPr>
              <w:t>组织对公司环境管理活动，遵守相关法律法规和其他要求情况进行评价，评价结果符合相关法律法规和其他要求，无违法违规情况并保持有合规性评价记录。</w:t>
            </w:r>
          </w:p>
          <w:p>
            <w:pPr>
              <w:keepNext w:val="0"/>
              <w:keepLines w:val="0"/>
              <w:pageBreakBefore w:val="0"/>
              <w:kinsoku/>
              <w:wordWrap/>
              <w:overflowPunct/>
              <w:topLinePunct w:val="0"/>
              <w:autoSpaceDE/>
              <w:autoSpaceDN/>
              <w:bidi w:val="0"/>
              <w:adjustRightInd/>
              <w:snapToGrid/>
              <w:spacing w:before="120" w:line="312" w:lineRule="auto"/>
              <w:ind w:firstLine="422" w:firstLineChars="200"/>
              <w:textAlignment w:val="auto"/>
              <w:rPr>
                <w:rFonts w:hint="eastAsia" w:ascii="宋体" w:hAnsi="宋体" w:eastAsia="宋体" w:cs="宋体"/>
                <w:color w:val="auto"/>
                <w:lang w:val="en-US" w:eastAsia="zh-CN"/>
              </w:rPr>
            </w:pPr>
            <w:r>
              <w:rPr>
                <w:rFonts w:hint="eastAsia" w:ascii="宋体" w:hAnsi="宋体" w:eastAsia="宋体" w:cs="宋体"/>
                <w:b/>
                <w:bCs w:val="0"/>
                <w:color w:val="auto"/>
              </w:rPr>
              <w:t>202</w:t>
            </w:r>
            <w:r>
              <w:rPr>
                <w:rFonts w:hint="eastAsia" w:ascii="宋体" w:hAnsi="宋体" w:eastAsia="宋体" w:cs="宋体"/>
                <w:b/>
                <w:bCs w:val="0"/>
                <w:color w:val="auto"/>
                <w:lang w:val="en-US" w:eastAsia="zh-CN"/>
              </w:rPr>
              <w:t>2</w:t>
            </w:r>
            <w:r>
              <w:rPr>
                <w:rFonts w:hint="eastAsia" w:ascii="宋体" w:hAnsi="宋体" w:eastAsia="宋体" w:cs="宋体"/>
                <w:b/>
                <w:bCs w:val="0"/>
                <w:color w:val="auto"/>
              </w:rPr>
              <w:t>年</w:t>
            </w:r>
            <w:r>
              <w:rPr>
                <w:rFonts w:hint="eastAsia" w:ascii="宋体" w:hAnsi="宋体" w:eastAsia="宋体" w:cs="宋体"/>
                <w:b/>
                <w:bCs w:val="0"/>
                <w:color w:val="auto"/>
                <w:lang w:val="en-US" w:eastAsia="zh-CN"/>
              </w:rPr>
              <w:t>7</w:t>
            </w:r>
            <w:r>
              <w:rPr>
                <w:rFonts w:hint="eastAsia" w:ascii="宋体" w:hAnsi="宋体" w:eastAsia="宋体" w:cs="宋体"/>
                <w:b/>
                <w:bCs w:val="0"/>
                <w:color w:val="auto"/>
              </w:rPr>
              <w:t>月</w:t>
            </w:r>
            <w:r>
              <w:rPr>
                <w:rFonts w:hint="eastAsia" w:ascii="宋体" w:hAnsi="宋体" w:eastAsia="宋体" w:cs="宋体"/>
                <w:b/>
                <w:bCs w:val="0"/>
                <w:color w:val="auto"/>
                <w:lang w:eastAsia="zh-CN"/>
              </w:rPr>
              <w:t>综合部</w:t>
            </w:r>
            <w:r>
              <w:rPr>
                <w:rFonts w:hint="eastAsia" w:ascii="宋体" w:hAnsi="宋体" w:eastAsia="宋体" w:cs="宋体"/>
                <w:b/>
                <w:bCs w:val="0"/>
                <w:color w:val="auto"/>
              </w:rPr>
              <w:t>组织对公司环境管理活动，遵守相关法律法规和其他要求情况进行</w:t>
            </w:r>
            <w:r>
              <w:rPr>
                <w:rFonts w:hint="eastAsia" w:ascii="宋体" w:hAnsi="宋体" w:eastAsia="宋体" w:cs="宋体"/>
                <w:b/>
                <w:bCs w:val="0"/>
                <w:color w:val="auto"/>
                <w:lang w:val="en-US" w:eastAsia="zh-CN"/>
              </w:rPr>
              <w:t>了</w:t>
            </w:r>
            <w:r>
              <w:rPr>
                <w:rFonts w:hint="eastAsia" w:ascii="宋体" w:hAnsi="宋体" w:eastAsia="宋体" w:cs="宋体"/>
                <w:b/>
                <w:bCs w:val="0"/>
                <w:color w:val="auto"/>
              </w:rPr>
              <w:t>评价</w:t>
            </w:r>
            <w:r>
              <w:rPr>
                <w:rFonts w:hint="eastAsia" w:ascii="宋体" w:hAnsi="宋体" w:eastAsia="宋体" w:cs="宋体"/>
                <w:b/>
                <w:bCs w:val="0"/>
                <w:color w:val="auto"/>
                <w:lang w:eastAsia="zh-CN"/>
              </w:rPr>
              <w:t>，</w:t>
            </w:r>
            <w:r>
              <w:rPr>
                <w:rFonts w:hint="eastAsia" w:ascii="宋体" w:hAnsi="宋体" w:eastAsia="宋体" w:cs="宋体"/>
                <w:b/>
                <w:bCs w:val="0"/>
                <w:color w:val="auto"/>
              </w:rPr>
              <w:t>未提供合规性评价结论及报告</w:t>
            </w:r>
            <w:r>
              <w:rPr>
                <w:rFonts w:hint="eastAsia" w:ascii="宋体" w:hAnsi="宋体" w:eastAsia="宋体" w:cs="宋体"/>
                <w:b/>
                <w:bCs w:val="0"/>
                <w:color w:val="auto"/>
                <w:lang w:eastAsia="zh-CN"/>
              </w:rPr>
              <w:t>，</w:t>
            </w:r>
            <w:r>
              <w:rPr>
                <w:rFonts w:hint="eastAsia" w:ascii="宋体" w:hAnsi="宋体" w:eastAsia="宋体" w:cs="宋体"/>
                <w:b/>
                <w:bCs w:val="0"/>
                <w:color w:val="auto"/>
              </w:rPr>
              <w:t>不符合标准</w:t>
            </w:r>
            <w:r>
              <w:rPr>
                <w:rFonts w:hint="eastAsia" w:ascii="宋体" w:hAnsi="宋体" w:eastAsia="宋体" w:cs="宋体"/>
                <w:b/>
                <w:bCs w:val="0"/>
                <w:color w:val="auto"/>
                <w:lang w:val="en-US" w:eastAsia="zh-CN"/>
              </w:rPr>
              <w:t>要求。</w:t>
            </w:r>
          </w:p>
        </w:tc>
        <w:tc>
          <w:tcPr>
            <w:tcW w:w="1261" w:type="dxa"/>
            <w:vAlign w:val="top"/>
          </w:tcPr>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rPr>
                <w:rFonts w:hint="eastAsia" w:ascii="宋体" w:hAnsi="宋体"/>
                <w:color w:val="auto"/>
                <w:sz w:val="21"/>
                <w:szCs w:val="21"/>
              </w:rPr>
            </w:pPr>
            <w:r>
              <w:rPr>
                <w:rFonts w:hint="eastAsia" w:ascii="宋体" w:hAnsi="宋体"/>
                <w:color w:val="auto"/>
                <w:sz w:val="21"/>
                <w:szCs w:val="21"/>
              </w:rPr>
              <w:t>不符合和纠正措施</w:t>
            </w:r>
          </w:p>
          <w:p>
            <w:pPr>
              <w:adjustRightInd w:val="0"/>
              <w:snapToGrid w:val="0"/>
              <w:jc w:val="both"/>
              <w:rPr>
                <w:color w:val="auto"/>
              </w:rPr>
            </w:pPr>
          </w:p>
        </w:tc>
        <w:tc>
          <w:tcPr>
            <w:tcW w:w="960" w:type="dxa"/>
            <w:vAlign w:val="top"/>
          </w:tcPr>
          <w:p>
            <w:pPr>
              <w:rPr>
                <w:rFonts w:hint="eastAsia" w:ascii="宋体" w:hAnsi="宋体"/>
                <w:color w:val="auto"/>
                <w:sz w:val="21"/>
                <w:szCs w:val="21"/>
              </w:rPr>
            </w:pPr>
            <w:r>
              <w:rPr>
                <w:rFonts w:hint="eastAsia" w:ascii="宋体" w:hAnsi="宋体"/>
                <w:color w:val="auto"/>
                <w:sz w:val="21"/>
                <w:szCs w:val="21"/>
              </w:rPr>
              <w:t>10.2</w:t>
            </w:r>
          </w:p>
          <w:p>
            <w:pPr>
              <w:rPr>
                <w:color w:val="auto"/>
              </w:rPr>
            </w:pPr>
          </w:p>
        </w:tc>
        <w:tc>
          <w:tcPr>
            <w:tcW w:w="10328" w:type="dxa"/>
            <w:vAlign w:val="top"/>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公司通过方针、目标的达成分析、内部审核结果、数据资料统计分析、纠正和预防措施和管理评审等方式，以推动环境和职业健康安全管理体系的持续改进。</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抽查不符合处理记录：</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抽</w:t>
            </w:r>
            <w:r>
              <w:rPr>
                <w:rFonts w:hint="eastAsia" w:ascii="宋体" w:hAnsi="宋体" w:eastAsia="宋体" w:cs="宋体"/>
                <w:color w:val="auto"/>
                <w:sz w:val="21"/>
                <w:szCs w:val="21"/>
                <w:highlight w:val="none"/>
              </w:rPr>
              <w:t>《纠正预防措施处理单》1份</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时间：</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日</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不合格事实：</w:t>
            </w:r>
            <w:r>
              <w:rPr>
                <w:rFonts w:hint="eastAsia" w:ascii="宋体" w:hAnsi="宋体" w:eastAsia="宋体" w:cs="宋体"/>
                <w:color w:val="auto"/>
                <w:sz w:val="21"/>
                <w:szCs w:val="21"/>
                <w:highlight w:val="none"/>
                <w:lang w:val="en-US" w:eastAsia="zh-CN"/>
              </w:rPr>
              <w:t>综合办公室未设立口罩丢弃装置</w:t>
            </w:r>
            <w:r>
              <w:rPr>
                <w:rFonts w:hint="eastAsia" w:ascii="宋体" w:hAnsi="宋体" w:eastAsia="宋体" w:cs="宋体"/>
                <w:color w:val="auto"/>
                <w:sz w:val="21"/>
                <w:szCs w:val="21"/>
                <w:highlight w:val="none"/>
              </w:rPr>
              <w:t>。已对不合格原因进行了描述分析，采取了相应措施，基本符合要求。</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261"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EMS运行控制相关财务支出证据</w:t>
            </w:r>
          </w:p>
        </w:tc>
        <w:tc>
          <w:tcPr>
            <w:tcW w:w="960" w:type="dxa"/>
            <w:vAlign w:val="top"/>
          </w:tcPr>
          <w:p>
            <w:pPr>
              <w:adjustRightInd w:val="0"/>
              <w:snapToGrid w:val="0"/>
              <w:rPr>
                <w:color w:val="auto"/>
              </w:rPr>
            </w:pPr>
          </w:p>
        </w:tc>
        <w:tc>
          <w:tcPr>
            <w:tcW w:w="10328" w:type="dxa"/>
            <w:vAlign w:val="top"/>
          </w:tcPr>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提供有20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年支出清单：支出项目有购置灭火器、消防演练、固废垃圾处置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体系培训费用等共计</w:t>
            </w:r>
            <w:r>
              <w:rPr>
                <w:rFonts w:hint="eastAsia" w:ascii="宋体" w:hAnsi="宋体" w:eastAsia="宋体" w:cs="宋体"/>
                <w:color w:val="auto"/>
                <w:sz w:val="21"/>
                <w:szCs w:val="21"/>
                <w:highlight w:val="none"/>
                <w:lang w:val="en-US" w:eastAsia="zh-CN"/>
              </w:rPr>
              <w:t>12000元。</w:t>
            </w:r>
          </w:p>
        </w:tc>
        <w:tc>
          <w:tcPr>
            <w:tcW w:w="1261" w:type="dxa"/>
          </w:tcPr>
          <w:p>
            <w:pPr>
              <w:widowControl/>
              <w:spacing w:line="4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符合</w:t>
            </w:r>
          </w:p>
        </w:tc>
      </w:tr>
    </w:tbl>
    <w:p>
      <w:pPr>
        <w:pStyle w:val="6"/>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28"/>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328"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 xml:space="preserve">市场部    </w:t>
            </w:r>
            <w:r>
              <w:rPr>
                <w:rFonts w:hint="eastAsia"/>
                <w:color w:val="auto"/>
                <w:sz w:val="24"/>
                <w:szCs w:val="24"/>
                <w:highlight w:val="none"/>
              </w:rPr>
              <w:t>主管领导：</w:t>
            </w:r>
            <w:r>
              <w:rPr>
                <w:rFonts w:hint="eastAsia"/>
                <w:color w:val="auto"/>
                <w:sz w:val="24"/>
                <w:szCs w:val="24"/>
                <w:highlight w:val="none"/>
                <w:lang w:val="en-US" w:eastAsia="zh-CN"/>
              </w:rPr>
              <w:t xml:space="preserve">陶艳辉，           </w:t>
            </w:r>
            <w:r>
              <w:rPr>
                <w:rFonts w:hint="eastAsia"/>
                <w:color w:val="auto"/>
                <w:sz w:val="24"/>
                <w:szCs w:val="24"/>
                <w:highlight w:val="none"/>
              </w:rPr>
              <w:t>陪同人员：</w:t>
            </w:r>
            <w:r>
              <w:rPr>
                <w:rFonts w:hint="eastAsia"/>
                <w:color w:val="auto"/>
                <w:sz w:val="24"/>
                <w:szCs w:val="24"/>
                <w:highlight w:val="none"/>
                <w:lang w:val="en-US" w:eastAsia="zh-CN"/>
              </w:rPr>
              <w:t>代安华</w:t>
            </w:r>
          </w:p>
        </w:tc>
        <w:tc>
          <w:tcPr>
            <w:tcW w:w="126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328" w:type="dxa"/>
            <w:vAlign w:val="center"/>
          </w:tcPr>
          <w:p>
            <w:pPr>
              <w:spacing w:before="120"/>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 xml:space="preserve">冉景洲 ，       </w:t>
            </w:r>
            <w:r>
              <w:rPr>
                <w:rFonts w:hint="eastAsia"/>
                <w:color w:val="auto"/>
                <w:sz w:val="24"/>
                <w:szCs w:val="24"/>
              </w:rPr>
              <w:t>审核时间：</w:t>
            </w:r>
            <w:r>
              <w:rPr>
                <w:rFonts w:hint="eastAsia"/>
                <w:color w:val="auto"/>
                <w:sz w:val="24"/>
                <w:szCs w:val="24"/>
                <w:lang w:val="en-US" w:eastAsia="zh-CN"/>
              </w:rPr>
              <w:t>2023年1月10日</w:t>
            </w:r>
          </w:p>
        </w:tc>
        <w:tc>
          <w:tcPr>
            <w:tcW w:w="12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28" w:type="dxa"/>
            <w:vAlign w:val="center"/>
          </w:tcPr>
          <w:p>
            <w:pPr>
              <w:rPr>
                <w:rFonts w:hint="eastAsia"/>
                <w:color w:val="auto"/>
                <w:sz w:val="24"/>
                <w:szCs w:val="24"/>
              </w:rPr>
            </w:pPr>
            <w:r>
              <w:rPr>
                <w:rFonts w:hint="eastAsia"/>
                <w:color w:val="auto"/>
                <w:sz w:val="24"/>
                <w:szCs w:val="24"/>
              </w:rPr>
              <w:t>审核条款：</w:t>
            </w:r>
          </w:p>
          <w:p>
            <w:pPr>
              <w:rPr>
                <w:color w:val="auto"/>
                <w:sz w:val="24"/>
                <w:szCs w:val="24"/>
              </w:rPr>
            </w:pPr>
            <w:r>
              <w:rPr>
                <w:rFonts w:hint="eastAsia" w:ascii="宋体" w:hAnsi="宋体" w:cs="Times New Roman"/>
                <w:color w:val="auto"/>
                <w:sz w:val="21"/>
                <w:szCs w:val="21"/>
              </w:rPr>
              <w:t>5.3组织的角色、职责和权限、6.1.2环境因素；6.2目标及其达成的策划；7.4沟通；8.1运行策划和控制；8.2应急准备和响应</w:t>
            </w:r>
          </w:p>
        </w:tc>
        <w:tc>
          <w:tcPr>
            <w:tcW w:w="12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 xml:space="preserve">5.3； </w:t>
            </w:r>
          </w:p>
        </w:tc>
        <w:tc>
          <w:tcPr>
            <w:tcW w:w="10328" w:type="dxa"/>
          </w:tcPr>
          <w:p>
            <w:pPr>
              <w:keepNext w:val="0"/>
              <w:keepLines w:val="0"/>
              <w:pageBreakBefore w:val="0"/>
              <w:kinsoku/>
              <w:wordWrap/>
              <w:overflowPunct/>
              <w:topLinePunct w:val="0"/>
              <w:autoSpaceDE w:val="0"/>
              <w:autoSpaceDN w:val="0"/>
              <w:bidi w:val="0"/>
              <w:adjustRightInd w:val="0"/>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eastAsia="宋体" w:cs="宋体"/>
                <w:color w:val="auto"/>
                <w:sz w:val="21"/>
                <w:szCs w:val="21"/>
                <w:lang w:eastAsia="zh-CN"/>
              </w:rPr>
              <w:t>市场部</w:t>
            </w:r>
            <w:r>
              <w:rPr>
                <w:rFonts w:hint="eastAsia" w:ascii="宋体" w:hAnsi="宋体" w:eastAsia="宋体" w:cs="宋体"/>
                <w:color w:val="auto"/>
                <w:sz w:val="21"/>
                <w:szCs w:val="21"/>
              </w:rPr>
              <w:t>的岗位职责和权限如下：</w:t>
            </w:r>
          </w:p>
          <w:p>
            <w:pPr>
              <w:keepNext w:val="0"/>
              <w:keepLines w:val="0"/>
              <w:pageBreakBefore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1）贯彻总经理批准的环境方针、环境目标、指标和承诺，承担部门环境保护责任； </w:t>
            </w:r>
          </w:p>
          <w:p>
            <w:pPr>
              <w:keepNext w:val="0"/>
              <w:keepLines w:val="0"/>
              <w:pageBreakBefore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2）负责对本部门目标指标实现情况及运行进行监控； </w:t>
            </w:r>
          </w:p>
          <w:p>
            <w:pPr>
              <w:keepNext w:val="0"/>
              <w:keepLines w:val="0"/>
              <w:pageBreakBefore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3）负责销售过程中产品的</w:t>
            </w:r>
            <w:r>
              <w:rPr>
                <w:rFonts w:hint="eastAsia" w:ascii="宋体" w:hAnsi="宋体" w:eastAsia="宋体" w:cs="宋体"/>
                <w:color w:val="auto"/>
                <w:sz w:val="21"/>
                <w:szCs w:val="21"/>
                <w:lang w:val="en-US" w:eastAsia="zh-CN"/>
              </w:rPr>
              <w:t>采购及</w:t>
            </w:r>
            <w:r>
              <w:rPr>
                <w:rFonts w:hint="eastAsia" w:ascii="宋体" w:hAnsi="宋体" w:eastAsia="宋体" w:cs="宋体"/>
                <w:color w:val="auto"/>
                <w:sz w:val="21"/>
                <w:szCs w:val="21"/>
              </w:rPr>
              <w:t xml:space="preserve">交付管理，以预防其环境紧急或潜在事故的发生；  </w:t>
            </w:r>
          </w:p>
          <w:p>
            <w:pPr>
              <w:keepNext w:val="0"/>
              <w:keepLines w:val="0"/>
              <w:pageBreakBefore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4）负责宣传、影响主要顾客的环境行为。</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市场部</w:t>
            </w:r>
            <w:r>
              <w:rPr>
                <w:rFonts w:hint="eastAsia" w:ascii="宋体" w:hAnsi="宋体" w:eastAsia="宋体" w:cs="宋体"/>
                <w:color w:val="auto"/>
                <w:sz w:val="21"/>
                <w:szCs w:val="21"/>
              </w:rPr>
              <w:t>经理任职要求：</w:t>
            </w:r>
          </w:p>
          <w:p>
            <w:pPr>
              <w:keepNext w:val="0"/>
              <w:keepLines w:val="0"/>
              <w:pageBreakBefore w:val="0"/>
              <w:numPr>
                <w:ilvl w:val="0"/>
                <w:numId w:val="4"/>
              </w:numPr>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具有较高的综合素质，较强的组织协调能力和市场应变能力；熟悉分管业务的控制、指挥和协调有较强的分析决策能力；</w:t>
            </w:r>
          </w:p>
          <w:p>
            <w:pPr>
              <w:keepNext w:val="0"/>
              <w:keepLines w:val="0"/>
              <w:pageBreakBefore w:val="0"/>
              <w:numPr>
                <w:ilvl w:val="0"/>
                <w:numId w:val="4"/>
              </w:numPr>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具有两年以上相关行业工作经历；</w:t>
            </w:r>
          </w:p>
          <w:p>
            <w:pPr>
              <w:keepNext w:val="0"/>
              <w:keepLines w:val="0"/>
              <w:pageBreakBefore w:val="0"/>
              <w:numPr>
                <w:ilvl w:val="0"/>
                <w:numId w:val="4"/>
              </w:numPr>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要求掌握计划调度工作技术，较强的统筹协调，组织安排工作的能力，有一定统计分析能力。</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部门职责清晰、明确。</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市场</w:t>
            </w:r>
            <w:r>
              <w:rPr>
                <w:rFonts w:hint="eastAsia" w:ascii="宋体" w:hAnsi="宋体" w:eastAsia="宋体" w:cs="宋体"/>
                <w:color w:val="auto"/>
                <w:sz w:val="21"/>
                <w:szCs w:val="21"/>
              </w:rPr>
              <w:t xml:space="preserve">部负责人能基本阐述本部门的主要职责。 </w:t>
            </w:r>
          </w:p>
        </w:tc>
        <w:tc>
          <w:tcPr>
            <w:tcW w:w="1261"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6.1.2</w:t>
            </w:r>
          </w:p>
        </w:tc>
        <w:tc>
          <w:tcPr>
            <w:tcW w:w="10328" w:type="dxa"/>
          </w:tcPr>
          <w:p>
            <w:pPr>
              <w:keepNext w:val="0"/>
              <w:keepLines w:val="0"/>
              <w:pageBreakBefore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查，依据《</w:t>
            </w:r>
            <w:r>
              <w:rPr>
                <w:rFonts w:hint="eastAsia" w:ascii="宋体" w:hAnsi="宋体" w:eastAsia="宋体" w:cs="宋体"/>
                <w:color w:val="auto"/>
                <w:sz w:val="21"/>
                <w:szCs w:val="21"/>
                <w:lang w:val="zh-CN"/>
              </w:rPr>
              <w:t>环境因素危险源的识别和评价控制程序</w:t>
            </w:r>
            <w:r>
              <w:rPr>
                <w:rFonts w:hint="eastAsia" w:ascii="宋体" w:hAnsi="宋体" w:eastAsia="宋体" w:cs="宋体"/>
                <w:color w:val="auto"/>
                <w:sz w:val="21"/>
                <w:szCs w:val="21"/>
              </w:rPr>
              <w:t>》，根据不同的时态、状态识别了环境因素，通过对其发生的可能性、危害性等进行评价，</w:t>
            </w:r>
            <w:r>
              <w:rPr>
                <w:rFonts w:hint="eastAsia" w:ascii="宋体" w:hAnsi="宋体" w:eastAsia="宋体" w:cs="宋体"/>
                <w:color w:val="auto"/>
                <w:sz w:val="21"/>
                <w:szCs w:val="21"/>
                <w:lang w:eastAsia="zh-CN"/>
              </w:rPr>
              <w:t>市场部</w:t>
            </w:r>
            <w:r>
              <w:rPr>
                <w:rFonts w:hint="eastAsia" w:ascii="宋体" w:hAnsi="宋体" w:eastAsia="宋体" w:cs="宋体"/>
                <w:color w:val="auto"/>
                <w:sz w:val="21"/>
                <w:szCs w:val="21"/>
              </w:rPr>
              <w:t>确定的重要环境因素有：潜在火灾、固废的排放。</w:t>
            </w:r>
          </w:p>
          <w:p>
            <w:pPr>
              <w:keepNext w:val="0"/>
              <w:keepLines w:val="0"/>
              <w:pageBreakBefore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查看，部门的主要工作为客户提供产品</w:t>
            </w:r>
            <w:r>
              <w:rPr>
                <w:rFonts w:hint="eastAsia" w:ascii="宋体" w:hAnsi="宋体" w:eastAsia="宋体" w:cs="宋体"/>
                <w:color w:val="auto"/>
                <w:sz w:val="21"/>
                <w:szCs w:val="21"/>
                <w:lang w:val="en-US" w:eastAsia="zh-CN"/>
              </w:rPr>
              <w:t>采购及</w:t>
            </w:r>
            <w:r>
              <w:rPr>
                <w:rFonts w:hint="eastAsia" w:ascii="宋体" w:hAnsi="宋体" w:eastAsia="宋体" w:cs="宋体"/>
                <w:color w:val="auto"/>
                <w:sz w:val="21"/>
                <w:szCs w:val="21"/>
              </w:rPr>
              <w:t>销售。</w:t>
            </w:r>
            <w:r>
              <w:rPr>
                <w:rFonts w:hint="eastAsia" w:ascii="宋体" w:hAnsi="宋体" w:eastAsia="宋体" w:cs="宋体"/>
                <w:color w:val="auto"/>
                <w:sz w:val="21"/>
                <w:szCs w:val="21"/>
                <w:lang w:val="en-US" w:eastAsia="zh-CN"/>
              </w:rPr>
              <w:t>采购及</w:t>
            </w:r>
            <w:r>
              <w:rPr>
                <w:rFonts w:hint="eastAsia" w:ascii="宋体" w:hAnsi="宋体" w:eastAsia="宋体" w:cs="宋体"/>
                <w:color w:val="auto"/>
                <w:sz w:val="21"/>
                <w:szCs w:val="21"/>
              </w:rPr>
              <w:t>销售过程中有办公固废、辅料等固废，部门的环境因素识别和重要环境因素基本到位。</w:t>
            </w:r>
          </w:p>
        </w:tc>
        <w:tc>
          <w:tcPr>
            <w:tcW w:w="1261" w:type="dxa"/>
          </w:tcPr>
          <w:p>
            <w:pPr>
              <w:rPr>
                <w:color w:val="auto"/>
              </w:rPr>
            </w:pPr>
            <w:r>
              <w:rPr>
                <w:rFonts w:hint="eastAsia"/>
                <w:color w:val="auto"/>
              </w:rPr>
              <w:t>符合</w:t>
            </w:r>
          </w:p>
          <w:p>
            <w:pPr>
              <w:pStyle w:val="2"/>
              <w:rPr>
                <w:color w:val="auto"/>
              </w:rPr>
            </w:pPr>
          </w:p>
          <w:p>
            <w:pPr>
              <w:pStyle w:val="2"/>
              <w:rPr>
                <w:color w:val="auto"/>
              </w:rPr>
            </w:pPr>
          </w:p>
          <w:p>
            <w:pPr>
              <w:pStyle w:val="2"/>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新宋体"/>
                <w:color w:val="auto"/>
                <w:szCs w:val="21"/>
              </w:rPr>
            </w:pPr>
            <w:r>
              <w:rPr>
                <w:rFonts w:hint="eastAsia" w:ascii="宋体" w:hAnsi="宋体" w:cs="新宋体"/>
                <w:color w:val="auto"/>
                <w:szCs w:val="21"/>
              </w:rPr>
              <w:t>目标及其实现的策划</w:t>
            </w:r>
          </w:p>
        </w:tc>
        <w:tc>
          <w:tcPr>
            <w:tcW w:w="960" w:type="dxa"/>
            <w:vAlign w:val="top"/>
          </w:tcPr>
          <w:p>
            <w:pPr>
              <w:jc w:val="both"/>
              <w:rPr>
                <w:rFonts w:ascii="宋体" w:hAnsi="宋体" w:cs="新宋体"/>
                <w:color w:val="auto"/>
                <w:szCs w:val="21"/>
              </w:rPr>
            </w:pPr>
            <w:r>
              <w:rPr>
                <w:rFonts w:hint="eastAsia" w:ascii="宋体" w:hAnsi="宋体" w:cs="新宋体"/>
                <w:color w:val="auto"/>
                <w:szCs w:val="21"/>
              </w:rPr>
              <w:t>6.2</w:t>
            </w:r>
          </w:p>
        </w:tc>
        <w:tc>
          <w:tcPr>
            <w:tcW w:w="10328" w:type="dxa"/>
          </w:tcPr>
          <w:p>
            <w:pPr>
              <w:keepNext w:val="0"/>
              <w:keepLines w:val="0"/>
              <w:pageBreakBefore w:val="0"/>
              <w:kinsoku/>
              <w:wordWrap/>
              <w:overflowPunct/>
              <w:topLinePunct w:val="0"/>
              <w:bidi w:val="0"/>
              <w:snapToGrid/>
              <w:spacing w:line="312" w:lineRule="auto"/>
              <w:ind w:right="170"/>
              <w:jc w:val="left"/>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查</w:t>
            </w:r>
            <w:r>
              <w:rPr>
                <w:rFonts w:hint="eastAsia" w:ascii="宋体" w:hAnsi="宋体" w:eastAsia="宋体" w:cs="宋体"/>
                <w:iCs/>
                <w:color w:val="auto"/>
                <w:sz w:val="21"/>
                <w:szCs w:val="21"/>
                <w:lang w:eastAsia="zh-CN"/>
              </w:rPr>
              <w:t>市场部</w:t>
            </w:r>
            <w:r>
              <w:rPr>
                <w:rFonts w:hint="eastAsia" w:ascii="宋体" w:hAnsi="宋体" w:eastAsia="宋体" w:cs="宋体"/>
                <w:iCs/>
                <w:color w:val="auto"/>
                <w:sz w:val="21"/>
                <w:szCs w:val="21"/>
              </w:rPr>
              <w:t>的环境安全目标为：</w:t>
            </w:r>
          </w:p>
          <w:p>
            <w:pPr>
              <w:keepNext w:val="0"/>
              <w:keepLines w:val="0"/>
              <w:pageBreakBefore w:val="0"/>
              <w:tabs>
                <w:tab w:val="center" w:pos="4894"/>
              </w:tabs>
              <w:kinsoku/>
              <w:wordWrap/>
              <w:overflowPunct/>
              <w:topLinePunct w:val="0"/>
              <w:bidi w:val="0"/>
              <w:snapToGrid/>
              <w:spacing w:line="312" w:lineRule="auto"/>
              <w:ind w:right="170"/>
              <w:jc w:val="left"/>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环境目标</w:t>
            </w:r>
            <w:r>
              <w:rPr>
                <w:rFonts w:hint="eastAsia" w:ascii="宋体" w:hAnsi="宋体" w:eastAsia="宋体" w:cs="宋体"/>
                <w:iCs/>
                <w:color w:val="auto"/>
                <w:sz w:val="21"/>
                <w:szCs w:val="21"/>
              </w:rPr>
              <w:tab/>
            </w:r>
            <w:r>
              <w:rPr>
                <w:rFonts w:hint="eastAsia" w:ascii="宋体" w:hAnsi="宋体" w:eastAsia="宋体" w:cs="宋体"/>
                <w:color w:val="auto"/>
                <w:sz w:val="21"/>
                <w:szCs w:val="21"/>
              </w:rPr>
              <w:t>考核情况（</w:t>
            </w:r>
            <w:r>
              <w:rPr>
                <w:rFonts w:hint="eastAsia" w:ascii="宋体" w:hAnsi="宋体" w:eastAsia="宋体" w:cs="宋体"/>
                <w:color w:val="auto"/>
                <w:sz w:val="21"/>
                <w:szCs w:val="21"/>
                <w:lang w:eastAsia="zh-CN"/>
              </w:rPr>
              <w:t>2022年1月-12月</w:t>
            </w:r>
            <w:r>
              <w:rPr>
                <w:rFonts w:hint="eastAsia" w:ascii="宋体" w:hAnsi="宋体" w:eastAsia="宋体" w:cs="宋体"/>
                <w:color w:val="auto"/>
                <w:sz w:val="21"/>
                <w:szCs w:val="21"/>
              </w:rPr>
              <w:t>）</w:t>
            </w:r>
          </w:p>
          <w:p>
            <w:pPr>
              <w:keepNext w:val="0"/>
              <w:keepLines w:val="0"/>
              <w:pageBreakBefore w:val="0"/>
              <w:kinsoku/>
              <w:wordWrap/>
              <w:overflowPunct/>
              <w:topLinePunct w:val="0"/>
              <w:bidi w:val="0"/>
              <w:snapToGrid/>
              <w:spacing w:line="312" w:lineRule="auto"/>
              <w:ind w:right="-107" w:rightChars="-51"/>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固体废弃物100%合规处理</w:t>
            </w:r>
            <w:r>
              <w:rPr>
                <w:rFonts w:hint="eastAsia" w:ascii="宋体" w:hAnsi="宋体" w:eastAsia="宋体" w:cs="宋体"/>
                <w:color w:val="auto"/>
                <w:sz w:val="21"/>
                <w:szCs w:val="21"/>
              </w:rPr>
              <w:t>；                   100%</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2）火灾事故为</w:t>
            </w:r>
            <w:r>
              <w:rPr>
                <w:rFonts w:hint="eastAsia" w:ascii="宋体" w:hAnsi="宋体" w:eastAsia="宋体" w:cs="宋体"/>
                <w:color w:val="auto"/>
                <w:sz w:val="21"/>
                <w:szCs w:val="21"/>
                <w:lang w:val="en-US" w:eastAsia="zh-CN"/>
              </w:rPr>
              <w:t>零</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0</w:t>
            </w:r>
          </w:p>
          <w:p>
            <w:pPr>
              <w:keepNext w:val="0"/>
              <w:keepLines w:val="0"/>
              <w:pageBreakBefore w:val="0"/>
              <w:kinsoku/>
              <w:wordWrap/>
              <w:overflowPunct/>
              <w:topLinePunct w:val="0"/>
              <w:bidi w:val="0"/>
              <w:snapToGrid/>
              <w:spacing w:line="312" w:lineRule="auto"/>
              <w:ind w:right="-107" w:rightChars="-51"/>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eastAsia="宋体" w:cs="宋体"/>
                <w:color w:val="auto"/>
                <w:sz w:val="21"/>
                <w:szCs w:val="21"/>
                <w:lang w:eastAsia="zh-CN"/>
              </w:rPr>
              <w:t>2022年1月-12月市场部</w:t>
            </w:r>
            <w:r>
              <w:rPr>
                <w:rFonts w:hint="eastAsia" w:ascii="宋体" w:hAnsi="宋体" w:eastAsia="宋体" w:cs="宋体"/>
                <w:color w:val="auto"/>
                <w:sz w:val="21"/>
                <w:szCs w:val="21"/>
              </w:rPr>
              <w:t>目标完成情况、达到目标要求。</w:t>
            </w:r>
          </w:p>
          <w:p>
            <w:pPr>
              <w:keepNext w:val="0"/>
              <w:keepLines w:val="0"/>
              <w:pageBreakBefore w:val="0"/>
              <w:widowControl/>
              <w:kinsoku/>
              <w:wordWrap/>
              <w:overflowPunct/>
              <w:topLinePunct w:val="0"/>
              <w:bidi w:val="0"/>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查，公司编制了环境管理实施方案：制定、执行程序或作业文件；加强监测和测量；培训与教育；应急响应。</w:t>
            </w:r>
          </w:p>
        </w:tc>
        <w:tc>
          <w:tcPr>
            <w:tcW w:w="1261"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7.4 </w:t>
            </w:r>
          </w:p>
        </w:tc>
        <w:tc>
          <w:tcPr>
            <w:tcW w:w="10328" w:type="dxa"/>
          </w:tcPr>
          <w:p>
            <w:pPr>
              <w:pStyle w:val="8"/>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rPr>
              <w:t>--《</w:t>
            </w:r>
            <w:r>
              <w:rPr>
                <w:rFonts w:hint="eastAsia" w:ascii="宋体" w:hAnsi="宋体" w:eastAsia="宋体" w:cs="宋体"/>
                <w:color w:val="auto"/>
                <w:sz w:val="21"/>
                <w:szCs w:val="21"/>
                <w:lang w:eastAsia="zh-CN"/>
              </w:rPr>
              <w:t>协商、沟通和信息交流控制程序</w:t>
            </w:r>
            <w:r>
              <w:rPr>
                <w:rFonts w:hint="eastAsia" w:ascii="宋体" w:hAnsi="宋体" w:eastAsia="宋体" w:cs="宋体"/>
                <w:color w:val="auto"/>
                <w:kern w:val="2"/>
                <w:sz w:val="21"/>
                <w:szCs w:val="21"/>
              </w:rPr>
              <w:t>》规定了公司内外信息交流、协商的对象、方式、记录等。</w:t>
            </w:r>
          </w:p>
          <w:p>
            <w:pPr>
              <w:pStyle w:val="8"/>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对部门之间有需要交流的有关环境管理信息，在公司内部利用部门会议、宣传栏进行管理方针及目标、指标、管理方案及环保法律法规等内容的宣传、沟通。</w:t>
            </w:r>
          </w:p>
          <w:p>
            <w:pPr>
              <w:pStyle w:val="8"/>
              <w:keepNext w:val="0"/>
              <w:keepLines w:val="0"/>
              <w:pageBreakBefore w:val="0"/>
              <w:kinsoku/>
              <w:wordWrap/>
              <w:overflowPunct/>
              <w:topLinePunct w:val="0"/>
              <w:bidi w:val="0"/>
              <w:snapToGrid/>
              <w:spacing w:line="312"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rPr>
              <w:t>外部，对顾客等相关方进行了管理方针、产品使用环保要求的沟通，主要通过网络、交流及产品说明书、合同等方式进行，并达成一致性意见实施有效控制。</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外部交流主要通过销售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合同及电话、信函等方式进行。</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查见：与顾客沟通信息：</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1、与重庆桂诺光电科技有限公司2022年9月28日签定的木托盘、木箱等产品的销售合同。</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合同内容：产品名称、型号、单价、包装与运输、质量要求、交（提）货地点、验收方式、结算方式及期限违约责任等要求。</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2、与重庆市长城汽车售后服务有限公司2022年7月7日签定的木框、纸质包装制品、塑料制品的销售合同。</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合同内容：产品名称、规格型号、付款方式、货期时间、品质保障、违约责任等要求。</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查见内部交流主要通过直接面谈、会议、文件、培训方式，外部交流主要通过电话、信函方式。也可以通过工会等员工权益机构提出诉求。</w:t>
            </w:r>
          </w:p>
          <w:p>
            <w:pPr>
              <w:pStyle w:val="8"/>
              <w:keepNext w:val="0"/>
              <w:keepLines w:val="0"/>
              <w:pageBreakBefore w:val="0"/>
              <w:kinsoku/>
              <w:wordWrap/>
              <w:overflowPunct/>
              <w:topLinePunct w:val="0"/>
              <w:bidi w:val="0"/>
              <w:snapToGrid/>
              <w:spacing w:line="312"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rPr>
              <w:t>部门员工参与协商，员工提出参与环境知识的学习和培训，在日常服务例会中有通报公司近期环境工作及加强环境管理工作，员工做好自身和其他保护环境方面的工作要求。</w:t>
            </w:r>
          </w:p>
          <w:p>
            <w:pPr>
              <w:keepNext w:val="0"/>
              <w:keepLines w:val="0"/>
              <w:pageBreakBefore w:val="0"/>
              <w:widowControl/>
              <w:kinsoku/>
              <w:wordWrap/>
              <w:overflowPunct/>
              <w:topLinePunct w:val="0"/>
              <w:bidi w:val="0"/>
              <w:snapToGrid/>
              <w:spacing w:line="312"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查见：公司内部会议记录表，沟通信息包括：</w:t>
            </w:r>
          </w:p>
          <w:p>
            <w:pPr>
              <w:keepNext w:val="0"/>
              <w:keepLines w:val="0"/>
              <w:pageBreakBefore w:val="0"/>
              <w:widowControl/>
              <w:kinsoku/>
              <w:wordWrap/>
              <w:overflowPunct/>
              <w:topLinePunct w:val="0"/>
              <w:bidi w:val="0"/>
              <w:snapToGrid/>
              <w:spacing w:line="312"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1）告知员工：环境管理者代表是</w:t>
            </w:r>
            <w:r>
              <w:rPr>
                <w:rFonts w:hint="eastAsia" w:ascii="宋体" w:hAnsi="宋体" w:eastAsia="宋体" w:cs="宋体"/>
                <w:color w:val="auto"/>
                <w:sz w:val="21"/>
                <w:szCs w:val="21"/>
                <w:lang w:val="en-US" w:eastAsia="zh-CN"/>
              </w:rPr>
              <w:t>陶艳辉</w:t>
            </w:r>
            <w:r>
              <w:rPr>
                <w:rFonts w:hint="eastAsia" w:ascii="宋体" w:hAnsi="宋体" w:eastAsia="宋体" w:cs="宋体"/>
                <w:color w:val="auto"/>
                <w:sz w:val="21"/>
                <w:szCs w:val="21"/>
              </w:rPr>
              <w:t>。</w:t>
            </w:r>
          </w:p>
          <w:p>
            <w:pPr>
              <w:keepNext w:val="0"/>
              <w:keepLines w:val="0"/>
              <w:pageBreakBefore w:val="0"/>
              <w:widowControl/>
              <w:kinsoku/>
              <w:wordWrap/>
              <w:overflowPunct/>
              <w:topLinePunct w:val="0"/>
              <w:bidi w:val="0"/>
              <w:snapToGrid/>
              <w:spacing w:line="312"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2）组织员工学习：与环境管理有关的法律法规，包括《环境保护法》、《大气污染防治法》等关于员工权益、保险等内容；</w:t>
            </w:r>
          </w:p>
          <w:p>
            <w:pPr>
              <w:keepNext w:val="0"/>
              <w:keepLines w:val="0"/>
              <w:pageBreakBefore w:val="0"/>
              <w:widowControl/>
              <w:kinsoku/>
              <w:wordWrap/>
              <w:overflowPunct/>
              <w:topLinePunct w:val="0"/>
              <w:bidi w:val="0"/>
              <w:snapToGrid/>
              <w:spacing w:line="312"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3）将公司环境管理要求和意义作为新员工岗前培训内容。</w:t>
            </w:r>
          </w:p>
        </w:tc>
        <w:tc>
          <w:tcPr>
            <w:tcW w:w="1261" w:type="dxa"/>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8.1 </w:t>
            </w:r>
          </w:p>
        </w:tc>
        <w:tc>
          <w:tcPr>
            <w:tcW w:w="10328" w:type="dxa"/>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eastAsia="宋体" w:cs="宋体"/>
                <w:color w:val="auto"/>
                <w:sz w:val="21"/>
                <w:szCs w:val="21"/>
                <w:lang w:eastAsia="zh-CN"/>
              </w:rPr>
              <w:t>市场部</w:t>
            </w:r>
            <w:r>
              <w:rPr>
                <w:rFonts w:hint="eastAsia" w:ascii="宋体" w:hAnsi="宋体" w:eastAsia="宋体" w:cs="宋体"/>
                <w:color w:val="auto"/>
                <w:sz w:val="21"/>
                <w:szCs w:val="21"/>
              </w:rPr>
              <w:t>实施以下环境管理制度：《</w:t>
            </w:r>
            <w:r>
              <w:rPr>
                <w:rFonts w:hint="eastAsia" w:ascii="宋体" w:hAnsi="宋体" w:eastAsia="宋体" w:cs="宋体"/>
                <w:color w:val="auto"/>
                <w:kern w:val="0"/>
                <w:sz w:val="21"/>
                <w:szCs w:val="21"/>
              </w:rPr>
              <w:t>目标、指标和管理方案的制定与实施控制程序</w:t>
            </w:r>
            <w:r>
              <w:rPr>
                <w:rFonts w:hint="eastAsia" w:ascii="宋体" w:hAnsi="宋体" w:eastAsia="宋体" w:cs="宋体"/>
                <w:color w:val="auto"/>
                <w:sz w:val="21"/>
                <w:szCs w:val="21"/>
              </w:rPr>
              <w:t>》、《节约用电用水管理制度》、《</w:t>
            </w:r>
            <w:r>
              <w:rPr>
                <w:rFonts w:hint="eastAsia" w:ascii="宋体" w:hAnsi="宋体" w:eastAsia="宋体" w:cs="宋体"/>
                <w:color w:val="auto"/>
                <w:kern w:val="0"/>
                <w:sz w:val="21"/>
                <w:szCs w:val="21"/>
              </w:rPr>
              <w:t>废弃物管理控制程序</w:t>
            </w:r>
            <w:r>
              <w:rPr>
                <w:rFonts w:hint="eastAsia" w:ascii="宋体" w:hAnsi="宋体" w:eastAsia="宋体" w:cs="宋体"/>
                <w:color w:val="auto"/>
                <w:sz w:val="21"/>
                <w:szCs w:val="21"/>
              </w:rPr>
              <w:t>》《消防安全管理制度》、《用电安全管理规定》等。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查重要环境因素：</w:t>
            </w:r>
          </w:p>
          <w:p>
            <w:pPr>
              <w:keepNext w:val="0"/>
              <w:keepLines w:val="0"/>
              <w:pageBreakBefore w:val="0"/>
              <w:numPr>
                <w:ilvl w:val="0"/>
                <w:numId w:val="5"/>
              </w:numPr>
              <w:kinsoku/>
              <w:wordWrap/>
              <w:overflowPunct/>
              <w:topLinePunct w:val="0"/>
              <w:bidi w:val="0"/>
              <w:snapToGrid/>
              <w:spacing w:line="312" w:lineRule="auto"/>
              <w:ind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潜在火灾；</w:t>
            </w:r>
          </w:p>
          <w:p>
            <w:pPr>
              <w:keepNext w:val="0"/>
              <w:keepLines w:val="0"/>
              <w:pageBreakBefore w:val="0"/>
              <w:numPr>
                <w:ilvl w:val="0"/>
                <w:numId w:val="5"/>
              </w:numPr>
              <w:kinsoku/>
              <w:wordWrap/>
              <w:overflowPunct/>
              <w:topLinePunct w:val="0"/>
              <w:bidi w:val="0"/>
              <w:snapToGrid/>
              <w:spacing w:line="312" w:lineRule="auto"/>
              <w:ind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固废排放；</w:t>
            </w:r>
          </w:p>
          <w:p>
            <w:pPr>
              <w:keepNext w:val="0"/>
              <w:keepLines w:val="0"/>
              <w:pageBreakBefore w:val="0"/>
              <w:kinsoku/>
              <w:wordWrap/>
              <w:overflowPunct/>
              <w:topLinePunct w:val="0"/>
              <w:bidi w:val="0"/>
              <w:snapToGrid/>
              <w:spacing w:line="312" w:lineRule="auto"/>
              <w:ind w:left="36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查看，公司制订的相应的管理制度及管理方案，对重要环境因素进行管控。</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查，办公现场张贴有“请勿吸烟”标识。</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现场</w:t>
            </w:r>
            <w:r>
              <w:rPr>
                <w:rFonts w:hint="eastAsia" w:ascii="宋体" w:hAnsi="宋体" w:eastAsia="宋体" w:cs="宋体"/>
                <w:color w:val="auto"/>
                <w:sz w:val="21"/>
                <w:szCs w:val="21"/>
              </w:rPr>
              <w:t>查看：现场未发现大功率电器使用。</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现场</w:t>
            </w:r>
            <w:r>
              <w:rPr>
                <w:rFonts w:hint="eastAsia" w:ascii="宋体" w:hAnsi="宋体" w:eastAsia="宋体" w:cs="宋体"/>
                <w:color w:val="auto"/>
                <w:sz w:val="21"/>
                <w:szCs w:val="21"/>
              </w:rPr>
              <w:t>查看：查见办公等服务性一般固废有处理，现场有固废收集装置。</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查看：查见定期对办公区域的消防、用电设施进行检查，消除火灾隐患。</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查</w:t>
            </w:r>
            <w:r>
              <w:rPr>
                <w:rFonts w:hint="eastAsia" w:ascii="宋体" w:hAnsi="宋体" w:eastAsia="宋体" w:cs="宋体"/>
                <w:color w:val="auto"/>
                <w:sz w:val="21"/>
                <w:szCs w:val="21"/>
              </w:rPr>
              <w:t>销售过程管理：</w:t>
            </w:r>
          </w:p>
          <w:p>
            <w:pPr>
              <w:keepNext w:val="0"/>
              <w:keepLines w:val="0"/>
              <w:pageBreakBefore w:val="0"/>
              <w:numPr>
                <w:ilvl w:val="0"/>
                <w:numId w:val="6"/>
              </w:numPr>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废弃物管理：运输过程与物流方签订协议，明确</w:t>
            </w:r>
            <w:r>
              <w:rPr>
                <w:rFonts w:hint="eastAsia" w:ascii="宋体" w:hAnsi="宋体" w:eastAsia="宋体" w:cs="宋体"/>
                <w:color w:val="auto"/>
                <w:sz w:val="21"/>
                <w:szCs w:val="21"/>
                <w:lang w:val="en-US" w:eastAsia="zh-CN"/>
              </w:rPr>
              <w:t>环保责任</w:t>
            </w:r>
            <w:r>
              <w:rPr>
                <w:rFonts w:hint="eastAsia" w:ascii="宋体" w:hAnsi="宋体" w:eastAsia="宋体" w:cs="宋体"/>
                <w:color w:val="auto"/>
                <w:sz w:val="21"/>
                <w:szCs w:val="21"/>
              </w:rPr>
              <w:t>，严禁</w:t>
            </w:r>
            <w:r>
              <w:rPr>
                <w:rFonts w:hint="eastAsia" w:ascii="宋体" w:hAnsi="宋体" w:eastAsia="宋体" w:cs="宋体"/>
                <w:color w:val="auto"/>
                <w:sz w:val="21"/>
                <w:szCs w:val="21"/>
                <w:lang w:val="en-US" w:eastAsia="zh-CN"/>
              </w:rPr>
              <w:t>随意丢弃包装物品</w:t>
            </w:r>
            <w:r>
              <w:rPr>
                <w:rFonts w:hint="eastAsia" w:ascii="宋体" w:hAnsi="宋体" w:eastAsia="宋体" w:cs="宋体"/>
                <w:color w:val="auto"/>
                <w:sz w:val="21"/>
                <w:szCs w:val="21"/>
              </w:rPr>
              <w:t>；</w:t>
            </w:r>
          </w:p>
          <w:p>
            <w:pPr>
              <w:keepNext w:val="0"/>
              <w:keepLines w:val="0"/>
              <w:pageBreakBefore w:val="0"/>
              <w:numPr>
                <w:ilvl w:val="0"/>
                <w:numId w:val="6"/>
              </w:numPr>
              <w:kinsoku/>
              <w:wordWrap/>
              <w:overflowPunct/>
              <w:topLinePunct w:val="0"/>
              <w:bidi w:val="0"/>
              <w:snapToGrid/>
              <w:spacing w:line="312" w:lineRule="auto"/>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相关方告知管理：告知客户，产品的材质性质，以及不合格或报废产品的处理方式</w:t>
            </w:r>
            <w:r>
              <w:rPr>
                <w:rFonts w:hint="eastAsia" w:ascii="宋体" w:hAnsi="宋体" w:eastAsia="宋体" w:cs="宋体"/>
                <w:color w:val="auto"/>
                <w:sz w:val="21"/>
                <w:szCs w:val="21"/>
                <w:lang w:eastAsia="zh-CN"/>
              </w:rPr>
              <w:t>。</w:t>
            </w:r>
          </w:p>
          <w:p>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查库房管理：</w:t>
            </w:r>
          </w:p>
          <w:p>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公司设有销售产品库房，面积2000平方米左右，销售的</w:t>
            </w:r>
            <w:r>
              <w:rPr>
                <w:rFonts w:hint="eastAsia" w:ascii="宋体" w:hAnsi="宋体" w:eastAsia="宋体" w:cs="宋体"/>
                <w:color w:val="auto"/>
                <w:kern w:val="2"/>
                <w:sz w:val="21"/>
                <w:szCs w:val="21"/>
                <w:highlight w:val="none"/>
                <w:lang w:val="en-US" w:eastAsia="zh-CN" w:bidi="ar-SA"/>
              </w:rPr>
              <w:t>产品主要以</w:t>
            </w:r>
            <w:r>
              <w:rPr>
                <w:rFonts w:hint="eastAsia" w:ascii="宋体" w:hAnsi="宋体" w:eastAsia="宋体" w:cs="宋体"/>
                <w:color w:val="auto"/>
                <w:sz w:val="21"/>
                <w:szCs w:val="21"/>
                <w:highlight w:val="none"/>
              </w:rPr>
              <w:t>木托盘、木箱、纸质包装制品、塑料制品、不干胶标签</w:t>
            </w:r>
            <w:r>
              <w:rPr>
                <w:rFonts w:hint="eastAsia" w:ascii="宋体" w:hAnsi="宋体" w:eastAsia="宋体" w:cs="宋体"/>
                <w:color w:val="auto"/>
                <w:sz w:val="21"/>
                <w:szCs w:val="21"/>
                <w:highlight w:val="none"/>
                <w:lang w:val="en-US" w:eastAsia="zh-CN"/>
              </w:rPr>
              <w:t>为主，销售产品按分区存放，现场查看销售产品存放有序，基本符合要求。</w:t>
            </w:r>
            <w:r>
              <w:rPr>
                <w:rFonts w:hint="eastAsia" w:ascii="宋体" w:hAnsi="宋体" w:eastAsia="宋体" w:cs="宋体"/>
                <w:color w:val="auto"/>
                <w:sz w:val="21"/>
                <w:szCs w:val="21"/>
                <w:lang w:val="en-US" w:eastAsia="zh-CN"/>
              </w:rPr>
              <w:t>产品销售库房按规定配备有符合要求的灭火器和消火栓等，消防器材状态良好。见下</w:t>
            </w:r>
          </w:p>
          <w:p>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drawing>
                <wp:inline distT="0" distB="0" distL="114300" distR="114300">
                  <wp:extent cx="2312670" cy="1736090"/>
                  <wp:effectExtent l="0" t="0" r="11430" b="3810"/>
                  <wp:docPr id="1" name="图片 1" descr="f1860dcb1383f5122e2644d3e459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860dcb1383f5122e2644d3e459875"/>
                          <pic:cNvPicPr>
                            <a:picLocks noChangeAspect="1"/>
                          </pic:cNvPicPr>
                        </pic:nvPicPr>
                        <pic:blipFill>
                          <a:blip r:embed="rId6"/>
                          <a:stretch>
                            <a:fillRect/>
                          </a:stretch>
                        </pic:blipFill>
                        <pic:spPr>
                          <a:xfrm>
                            <a:off x="0" y="0"/>
                            <a:ext cx="2312670" cy="1736090"/>
                          </a:xfrm>
                          <a:prstGeom prst="rect">
                            <a:avLst/>
                          </a:prstGeom>
                        </pic:spPr>
                      </pic:pic>
                    </a:graphicData>
                  </a:graphic>
                </wp:inline>
              </w:drawing>
            </w:r>
            <w:r>
              <w:rPr>
                <w:rFonts w:hint="eastAsia" w:ascii="宋体" w:hAnsi="宋体" w:eastAsia="宋体" w:cs="宋体"/>
                <w:color w:val="auto"/>
                <w:sz w:val="21"/>
                <w:szCs w:val="21"/>
                <w:lang w:val="en-US" w:eastAsia="zh-CN"/>
              </w:rPr>
              <w:drawing>
                <wp:inline distT="0" distB="0" distL="114300" distR="114300">
                  <wp:extent cx="1819910" cy="1736090"/>
                  <wp:effectExtent l="0" t="0" r="8890" b="3810"/>
                  <wp:docPr id="2" name="图片 2" descr="66c75ef582aab5980d407d73992a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6c75ef582aab5980d407d73992a384"/>
                          <pic:cNvPicPr>
                            <a:picLocks noChangeAspect="1"/>
                          </pic:cNvPicPr>
                        </pic:nvPicPr>
                        <pic:blipFill>
                          <a:blip r:embed="rId7"/>
                          <a:stretch>
                            <a:fillRect/>
                          </a:stretch>
                        </pic:blipFill>
                        <pic:spPr>
                          <a:xfrm>
                            <a:off x="0" y="0"/>
                            <a:ext cx="1819910" cy="1736090"/>
                          </a:xfrm>
                          <a:prstGeom prst="rect">
                            <a:avLst/>
                          </a:prstGeom>
                        </pic:spPr>
                      </pic:pic>
                    </a:graphicData>
                  </a:graphic>
                </wp:inline>
              </w:drawing>
            </w:r>
            <w:r>
              <w:rPr>
                <w:rFonts w:hint="eastAsia" w:ascii="宋体" w:hAnsi="宋体" w:eastAsia="宋体" w:cs="宋体"/>
                <w:color w:val="auto"/>
                <w:sz w:val="21"/>
                <w:szCs w:val="21"/>
                <w:lang w:val="en-US" w:eastAsia="zh-CN"/>
              </w:rPr>
              <w:drawing>
                <wp:inline distT="0" distB="0" distL="114300" distR="114300">
                  <wp:extent cx="2107565" cy="1765300"/>
                  <wp:effectExtent l="0" t="0" r="635" b="0"/>
                  <wp:docPr id="3" name="图片 3" descr="13824878e31ccf2ee2609e3b4e012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3824878e31ccf2ee2609e3b4e0123c"/>
                          <pic:cNvPicPr>
                            <a:picLocks noChangeAspect="1"/>
                          </pic:cNvPicPr>
                        </pic:nvPicPr>
                        <pic:blipFill>
                          <a:blip r:embed="rId8"/>
                          <a:stretch>
                            <a:fillRect/>
                          </a:stretch>
                        </pic:blipFill>
                        <pic:spPr>
                          <a:xfrm>
                            <a:off x="0" y="0"/>
                            <a:ext cx="2107565" cy="1765300"/>
                          </a:xfrm>
                          <a:prstGeom prst="rect">
                            <a:avLst/>
                          </a:prstGeom>
                        </pic:spPr>
                      </pic:pic>
                    </a:graphicData>
                  </a:graphic>
                </wp:inline>
              </w:drawing>
            </w:r>
          </w:p>
          <w:p>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ascii="宋体" w:hAnsi="宋体" w:eastAsia="宋体" w:cs="宋体"/>
                <w:color w:val="auto"/>
                <w:sz w:val="21"/>
                <w:szCs w:val="21"/>
                <w:lang w:val="en-US" w:eastAsia="zh-CN"/>
              </w:rPr>
            </w:pPr>
          </w:p>
        </w:tc>
        <w:tc>
          <w:tcPr>
            <w:tcW w:w="1261" w:type="dxa"/>
          </w:tcPr>
          <w:p>
            <w:pPr>
              <w:spacing w:line="360" w:lineRule="auto"/>
              <w:rPr>
                <w:color w:val="auto"/>
              </w:rPr>
            </w:pPr>
            <w:r>
              <w:rPr>
                <w:rFonts w:hint="eastAsia"/>
                <w:color w:val="auto"/>
              </w:rPr>
              <w:t>符合</w:t>
            </w:r>
          </w:p>
          <w:p>
            <w:pPr>
              <w:spacing w:line="36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8.2</w:t>
            </w:r>
          </w:p>
        </w:tc>
        <w:tc>
          <w:tcPr>
            <w:tcW w:w="10328" w:type="dxa"/>
          </w:tcPr>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查见：《应急准备与响应</w:t>
            </w:r>
            <w:r>
              <w:rPr>
                <w:rFonts w:hint="eastAsia" w:ascii="宋体" w:hAnsi="宋体" w:eastAsia="宋体" w:cs="宋体"/>
                <w:color w:val="auto"/>
                <w:sz w:val="21"/>
                <w:szCs w:val="21"/>
              </w:rPr>
              <w:t>控制程序》、《消防火灾应急预案》等。</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查见：消防演练实况记录：</w:t>
            </w:r>
            <w:r>
              <w:rPr>
                <w:rFonts w:hint="eastAsia" w:ascii="宋体" w:hAnsi="宋体" w:eastAsia="宋体" w:cs="宋体"/>
                <w:color w:val="auto"/>
                <w:sz w:val="21"/>
                <w:szCs w:val="21"/>
                <w:lang w:eastAsia="zh-CN"/>
              </w:rPr>
              <w:t>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年0</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lang w:eastAsia="zh-CN"/>
              </w:rPr>
              <w:t>日市场部</w:t>
            </w:r>
            <w:r>
              <w:rPr>
                <w:rFonts w:hint="eastAsia" w:ascii="宋体" w:hAnsi="宋体" w:eastAsia="宋体" w:cs="宋体"/>
                <w:color w:val="auto"/>
                <w:sz w:val="21"/>
                <w:szCs w:val="21"/>
              </w:rPr>
              <w:t>相关人员参加了由</w:t>
            </w:r>
            <w:r>
              <w:rPr>
                <w:rFonts w:hint="eastAsia" w:ascii="宋体" w:hAnsi="宋体" w:eastAsia="宋体" w:cs="宋体"/>
                <w:color w:val="auto"/>
                <w:sz w:val="21"/>
                <w:szCs w:val="21"/>
                <w:lang w:eastAsia="zh-CN"/>
              </w:rPr>
              <w:t>综合部</w:t>
            </w:r>
            <w:r>
              <w:rPr>
                <w:rFonts w:hint="eastAsia" w:ascii="宋体" w:hAnsi="宋体" w:eastAsia="宋体" w:cs="宋体"/>
                <w:color w:val="auto"/>
                <w:sz w:val="21"/>
                <w:szCs w:val="21"/>
              </w:rPr>
              <w:t>组织的火灾消防演练。</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查，现场对应，部门员工的安全逃生意识有明显的改善和较大提高。使部门员工掌握了安全逃生的方式和路径。同时使部门员工掌握了灭火器材的使用。</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应急准备：在</w:t>
            </w:r>
            <w:r>
              <w:rPr>
                <w:rFonts w:hint="eastAsia" w:ascii="宋体" w:hAnsi="宋体" w:eastAsia="宋体" w:cs="宋体"/>
                <w:color w:val="auto"/>
                <w:sz w:val="21"/>
                <w:szCs w:val="21"/>
                <w:lang w:val="en-US" w:eastAsia="zh-CN"/>
              </w:rPr>
              <w:t>市场部</w:t>
            </w:r>
            <w:r>
              <w:rPr>
                <w:rFonts w:hint="eastAsia" w:ascii="宋体" w:hAnsi="宋体" w:eastAsia="宋体" w:cs="宋体"/>
                <w:color w:val="auto"/>
                <w:sz w:val="21"/>
                <w:szCs w:val="21"/>
              </w:rPr>
              <w:t>办公区域，按要求配置</w:t>
            </w:r>
            <w:r>
              <w:rPr>
                <w:rFonts w:hint="eastAsia" w:ascii="宋体" w:hAnsi="宋体" w:eastAsia="宋体" w:cs="宋体"/>
                <w:color w:val="auto"/>
                <w:sz w:val="21"/>
                <w:szCs w:val="21"/>
                <w:lang w:val="en-US" w:eastAsia="zh-CN"/>
              </w:rPr>
              <w:t>有</w:t>
            </w:r>
            <w:r>
              <w:rPr>
                <w:rFonts w:hint="eastAsia" w:ascii="宋体" w:hAnsi="宋体" w:eastAsia="宋体" w:cs="宋体"/>
                <w:color w:val="auto"/>
                <w:sz w:val="21"/>
                <w:szCs w:val="21"/>
              </w:rPr>
              <w:t>灭</w:t>
            </w:r>
            <w:r>
              <w:rPr>
                <w:rFonts w:hint="eastAsia" w:ascii="宋体" w:hAnsi="宋体" w:eastAsia="宋体" w:cs="宋体"/>
                <w:color w:val="auto"/>
                <w:sz w:val="21"/>
                <w:szCs w:val="21"/>
              </w:rPr>
              <w:t>火器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符合</w:t>
            </w:r>
            <w:r>
              <w:rPr>
                <w:rFonts w:hint="eastAsia" w:ascii="宋体" w:hAnsi="宋体" w:eastAsia="宋体" w:cs="宋体"/>
                <w:bCs/>
                <w:color w:val="auto"/>
                <w:sz w:val="21"/>
                <w:szCs w:val="21"/>
              </w:rPr>
              <w:t>管理</w:t>
            </w:r>
            <w:r>
              <w:rPr>
                <w:rFonts w:hint="eastAsia" w:ascii="宋体" w:hAnsi="宋体" w:eastAsia="宋体" w:cs="宋体"/>
                <w:color w:val="auto"/>
                <w:sz w:val="21"/>
                <w:szCs w:val="21"/>
              </w:rPr>
              <w:t>要求。</w:t>
            </w:r>
          </w:p>
        </w:tc>
        <w:tc>
          <w:tcPr>
            <w:tcW w:w="1261" w:type="dxa"/>
          </w:tcPr>
          <w:p>
            <w:pPr>
              <w:pStyle w:val="11"/>
              <w:rPr>
                <w:rFonts w:hint="eastAsia" w:eastAsia="宋体"/>
                <w:color w:val="auto"/>
                <w:lang w:val="en-US" w:eastAsia="zh-CN"/>
              </w:rPr>
            </w:pPr>
            <w:r>
              <w:rPr>
                <w:rFonts w:hint="eastAsia"/>
                <w:color w:val="auto"/>
                <w:lang w:val="en-US" w:eastAsia="zh-CN"/>
              </w:rPr>
              <w:t>符合</w:t>
            </w:r>
          </w:p>
          <w:p>
            <w:pPr>
              <w:pStyle w:val="11"/>
              <w:rPr>
                <w:color w:val="auto"/>
              </w:rPr>
            </w:pPr>
          </w:p>
          <w:p>
            <w:pPr>
              <w:pStyle w:val="11"/>
              <w:rPr>
                <w:color w:val="auto"/>
              </w:rPr>
            </w:pPr>
          </w:p>
          <w:p>
            <w:pPr>
              <w:pStyle w:val="11"/>
              <w:rPr>
                <w:color w:val="auto"/>
              </w:rPr>
            </w:pPr>
          </w:p>
          <w:p>
            <w:pPr>
              <w:pStyle w:val="11"/>
              <w:rPr>
                <w:color w:val="auto"/>
              </w:rPr>
            </w:pPr>
          </w:p>
          <w:p>
            <w:pPr>
              <w:pStyle w:val="11"/>
              <w:rPr>
                <w:rFonts w:hint="eastAsia" w:eastAsia="宋体"/>
                <w:color w:val="auto"/>
                <w:lang w:val="en-US" w:eastAsia="zh-CN"/>
              </w:rPr>
            </w:pPr>
          </w:p>
        </w:tc>
      </w:tr>
    </w:tbl>
    <w:p>
      <w:pPr>
        <w:rPr>
          <w:rFonts w:hint="eastAsia"/>
          <w:color w:val="auto"/>
        </w:rPr>
      </w:pPr>
      <w:r>
        <w:rPr>
          <w:rFonts w:hint="eastAsia"/>
          <w:color w:val="auto"/>
        </w:rPr>
        <w:t>说明：不符合标注N</w:t>
      </w:r>
    </w:p>
    <w:p>
      <w:pPr>
        <w:rPr>
          <w:color w:val="auto"/>
        </w:rPr>
      </w:pPr>
    </w:p>
    <w:p>
      <w:pPr>
        <w:rPr>
          <w:color w:val="auto"/>
        </w:rPr>
      </w:pPr>
    </w:p>
    <w:p>
      <w:pPr>
        <w:pStyle w:val="6"/>
        <w:rPr>
          <w:rFonts w:hint="eastAsia"/>
          <w:color w:val="auto"/>
        </w:rPr>
      </w:pPr>
    </w:p>
    <w:p>
      <w:pPr>
        <w:pStyle w:val="6"/>
        <w:rPr>
          <w:rFonts w:hint="eastAsia"/>
          <w:color w:val="auto"/>
        </w:rPr>
      </w:pPr>
    </w:p>
    <w:p>
      <w:pPr>
        <w:rPr>
          <w:color w:val="auto"/>
        </w:rPr>
      </w:pPr>
    </w:p>
    <w:p>
      <w:pPr>
        <w:rPr>
          <w:color w:val="auto"/>
        </w:rPr>
      </w:pPr>
    </w:p>
    <w:bookmarkEnd w:id="0"/>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931C5"/>
    <w:multiLevelType w:val="singleLevel"/>
    <w:tmpl w:val="A1B931C5"/>
    <w:lvl w:ilvl="0" w:tentative="0">
      <w:start w:val="1"/>
      <w:numFmt w:val="decimal"/>
      <w:suff w:val="nothing"/>
      <w:lvlText w:val="%1、"/>
      <w:lvlJc w:val="left"/>
    </w:lvl>
  </w:abstractNum>
  <w:abstractNum w:abstractNumId="1">
    <w:nsid w:val="C63F0600"/>
    <w:multiLevelType w:val="singleLevel"/>
    <w:tmpl w:val="C63F0600"/>
    <w:lvl w:ilvl="0" w:tentative="0">
      <w:start w:val="1"/>
      <w:numFmt w:val="decimal"/>
      <w:suff w:val="nothing"/>
      <w:lvlText w:val="%1、"/>
      <w:lvlJc w:val="left"/>
    </w:lvl>
  </w:abstractNum>
  <w:abstractNum w:abstractNumId="2">
    <w:nsid w:val="DA2A0F75"/>
    <w:multiLevelType w:val="singleLevel"/>
    <w:tmpl w:val="DA2A0F75"/>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5">
    <w:nsid w:val="59BF21E7"/>
    <w:multiLevelType w:val="singleLevel"/>
    <w:tmpl w:val="59BF21E7"/>
    <w:lvl w:ilvl="0" w:tentative="0">
      <w:start w:val="1"/>
      <w:numFmt w:val="decimal"/>
      <w:suff w:val="nothing"/>
      <w:lvlText w:val="%1、"/>
      <w:lvlJc w:val="left"/>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9C74EF3"/>
    <w:rsid w:val="0F021D20"/>
    <w:rsid w:val="11B34E79"/>
    <w:rsid w:val="1D113E9E"/>
    <w:rsid w:val="55675280"/>
    <w:rsid w:val="63C05081"/>
    <w:rsid w:val="6B7721A2"/>
    <w:rsid w:val="6FF13E72"/>
    <w:rsid w:val="7AC52F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Plain Text"/>
    <w:basedOn w:val="1"/>
    <w:qFormat/>
    <w:uiPriority w:val="0"/>
    <w:rPr>
      <w:rFonts w:ascii="宋体" w:hAnsi="Courier New" w:cs="Courier New"/>
      <w:szCs w:val="21"/>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rFonts w:cs="Times New Roman"/>
      <w:color w:val="000000"/>
      <w:kern w:val="0"/>
      <w:szCs w:val="24"/>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9800</Words>
  <Characters>10251</Characters>
  <Lines>1</Lines>
  <Paragraphs>1</Paragraphs>
  <TotalTime>2</TotalTime>
  <ScaleCrop>false</ScaleCrop>
  <LinksUpToDate>false</LinksUpToDate>
  <CharactersWithSpaces>10555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2023-01-15T13:49:07Z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