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任丘市振华防腐材料有限公司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防腐木杆的生产工艺流程：</w:t>
            </w:r>
            <w:bookmarkStart w:id="0" w:name="_GoBack"/>
            <w:bookmarkEnd w:id="0"/>
            <w:r>
              <w:rPr>
                <w:rFonts w:hint="eastAsia"/>
                <w:b/>
                <w:sz w:val="20"/>
                <w:lang w:val="en-US" w:eastAsia="zh-CN"/>
              </w:rPr>
              <w:t>原木—剥皮—风干—浸油—出罐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RB/T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-2015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能源管理体系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机械制造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56515</wp:posOffset>
                  </wp:positionV>
                  <wp:extent cx="664210" cy="271145"/>
                  <wp:effectExtent l="0" t="0" r="8890" b="8255"/>
                  <wp:wrapNone/>
                  <wp:docPr id="4" name="图片 4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75565</wp:posOffset>
                  </wp:positionV>
                  <wp:extent cx="664210" cy="271145"/>
                  <wp:effectExtent l="0" t="0" r="8890" b="8255"/>
                  <wp:wrapNone/>
                  <wp:docPr id="5" name="图片 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E0B5109"/>
    <w:rsid w:val="4927295E"/>
    <w:rsid w:val="7BCF14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442</Words>
  <Characters>597</Characters>
  <Lines>2</Lines>
  <Paragraphs>1</Paragraphs>
  <TotalTime>0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2023-01-11T07:30:14Z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