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4640" cy="9396095"/>
            <wp:effectExtent l="0" t="0" r="10160" b="1905"/>
            <wp:docPr id="1" name="图片 1" descr="D ISC-B-II-04 审核计划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I-04 审核计划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9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天津市正方科技发展有限公司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天津市滨海新区大港开发区吉照路133号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天津市滨海新区大港开发区吉照路133号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13302059909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耿艳丽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1292-2022-EnMs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石油机械设备的加工、组装所涉及的能源管理活动。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 xml:space="preserve">-2015《能源管理体系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机械制造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企业认证要求》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（行业认证标准）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年月日上午至年月日 上午</w:t>
            </w:r>
            <w:bookmarkEnd w:id="29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2022-N1EnMS-1082241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vAlign w:val="center"/>
          </w:tcPr>
          <w:p/>
        </w:tc>
        <w:tc>
          <w:tcPr>
            <w:tcW w:w="12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29" w:type="dxa"/>
            <w:gridSpan w:val="4"/>
            <w:vAlign w:val="center"/>
          </w:tcPr>
          <w:p/>
        </w:tc>
        <w:tc>
          <w:tcPr>
            <w:tcW w:w="12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19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21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080"/>
        <w:gridCol w:w="3490"/>
        <w:gridCol w:w="1518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首次会议（腾讯会议）</w:t>
            </w:r>
          </w:p>
        </w:tc>
        <w:tc>
          <w:tcPr>
            <w:tcW w:w="15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5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9:00-12:00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49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内外部因素、相关方的需求和期望、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体系策划过程、管理承诺相关过程、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资源提供过程、管理评审过程、监视和测量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和持续改进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对一阶段问题整改情况的确认等</w:t>
            </w:r>
          </w:p>
        </w:tc>
        <w:tc>
          <w:tcPr>
            <w:tcW w:w="1518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EnMS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4.1/ 4.2/4.3/4.4/5.1/5.2/5.3/6.1/7.1/9.3 /10.2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EnMS:5.3/6.2/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8.1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生产过程控制、现场管理、主要用能设备（等离子切割机、自动电焊机、钻床）等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EnMS: 8.1/9.1.1 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12:00-17:00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运营部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</w:t>
            </w:r>
            <w:bookmarkStart w:id="31" w:name="_GoBack"/>
            <w:bookmarkEnd w:id="3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划、运行控制、设计与研发、法律法规及其它要求的收集及合规性评价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EnMS: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5.3/6.2/6.3/6.4/6.5/6.6/8.1/8.2/4.2/9.1.1/9.1.2/10.1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14:30-17:00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部门职责权限、目标指标、人员能力、意识、信息交流、文件管理控制、运行控制、能源及用能设备采购的控制、内部审核实施、不符合纠正和纠正措施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EnMS:5.3/6.2/7.2/7.3/7.4/7.5/8.1/8.3/9.2/10.1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运营部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审核组内部沟通、与管理层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沟通</w:t>
            </w: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08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企业领导及各部门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7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每天12:00-12:30午餐时间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01E7827"/>
    <w:rsid w:val="022678CE"/>
    <w:rsid w:val="048E6E62"/>
    <w:rsid w:val="054B2EBB"/>
    <w:rsid w:val="062F4B2A"/>
    <w:rsid w:val="068B1191"/>
    <w:rsid w:val="06F24E61"/>
    <w:rsid w:val="0E024985"/>
    <w:rsid w:val="14CC0840"/>
    <w:rsid w:val="165F1806"/>
    <w:rsid w:val="191305A8"/>
    <w:rsid w:val="198B347E"/>
    <w:rsid w:val="19C703B8"/>
    <w:rsid w:val="231F5A1C"/>
    <w:rsid w:val="24EC78F2"/>
    <w:rsid w:val="295B4563"/>
    <w:rsid w:val="2E472CB8"/>
    <w:rsid w:val="391E42BF"/>
    <w:rsid w:val="3C157564"/>
    <w:rsid w:val="43E60FC0"/>
    <w:rsid w:val="44A80B05"/>
    <w:rsid w:val="47CB115E"/>
    <w:rsid w:val="4983569D"/>
    <w:rsid w:val="4AA246B9"/>
    <w:rsid w:val="4E9613BE"/>
    <w:rsid w:val="553E76D4"/>
    <w:rsid w:val="58931808"/>
    <w:rsid w:val="60FD75AC"/>
    <w:rsid w:val="64B74DAD"/>
    <w:rsid w:val="65DD5758"/>
    <w:rsid w:val="6AEE5E05"/>
    <w:rsid w:val="6BA850CD"/>
    <w:rsid w:val="6E9018BD"/>
    <w:rsid w:val="73337CF4"/>
    <w:rsid w:val="745E62B1"/>
    <w:rsid w:val="7AA641DB"/>
    <w:rsid w:val="7E421789"/>
    <w:rsid w:val="7EA93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1424</Words>
  <Characters>2045</Characters>
  <Lines>37</Lines>
  <Paragraphs>10</Paragraphs>
  <TotalTime>34</TotalTime>
  <ScaleCrop>false</ScaleCrop>
  <LinksUpToDate>false</LinksUpToDate>
  <CharactersWithSpaces>2096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2023-01-04T08:35:50Z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