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hint="eastAsia" w:eastAsia="楷体"/>
          <w:color w:val="000000"/>
          <w:sz w:val="21"/>
          <w:szCs w:val="21"/>
          <w:u w:val="thick"/>
          <w:lang w:val="en-US" w:eastAsia="zh-CN"/>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1292-2022-EnMs</w:t>
      </w:r>
      <w:bookmarkEnd w:id="0"/>
      <w:r>
        <w:rPr>
          <w:rFonts w:hint="eastAsia" w:eastAsia="楷体"/>
          <w:color w:val="000000"/>
          <w:sz w:val="21"/>
          <w:szCs w:val="21"/>
          <w:u w:val="thick"/>
          <w:lang w:val="en-US" w:eastAsia="zh-CN"/>
        </w:rPr>
        <w:t xml:space="preserve"> </w:t>
      </w:r>
      <w:bookmarkStart w:id="33" w:name="_GoBack"/>
      <w:bookmarkEnd w:id="33"/>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天津市正方科技发展有限公司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2023年01月03日 上午至2023年01月03日 上午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Add1"/>
            <w:bookmarkStart w:id="10" w:name="QJ勾选"/>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lang w:eastAsia="zh-CN"/>
              </w:rPr>
              <w:t>☑</w:t>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 xml:space="preserve">GB/T 23331-2021 </w:t>
            </w:r>
            <w:r>
              <w:rPr>
                <w:rFonts w:hint="eastAsia" w:ascii="宋体" w:hAnsi="宋体"/>
                <w:b/>
                <w:color w:val="000000"/>
                <w:szCs w:val="21"/>
                <w:lang w:val="de-DE" w:eastAsia="zh-CN"/>
              </w:rPr>
              <w:t>☑</w:t>
            </w:r>
            <w:r>
              <w:rPr>
                <w:rFonts w:hint="eastAsia" w:ascii="宋体" w:hAnsi="宋体"/>
                <w:b/>
                <w:color w:val="000000"/>
                <w:szCs w:val="21"/>
              </w:rPr>
              <w:t>能源认证标准</w:t>
            </w:r>
            <w:r>
              <w:rPr>
                <w:rFonts w:hint="eastAsia" w:ascii="宋体" w:hAnsi="宋体"/>
                <w:b/>
                <w:color w:val="000000"/>
                <w:szCs w:val="21"/>
                <w:lang w:val="de-DE"/>
              </w:rPr>
              <w:t>：</w:t>
            </w:r>
            <w:r>
              <w:rPr>
                <w:rFonts w:hint="eastAsia" w:ascii="宋体" w:hAnsi="宋体"/>
                <w:b/>
                <w:sz w:val="21"/>
                <w:szCs w:val="21"/>
              </w:rPr>
              <w:t>RB/T</w:t>
            </w:r>
            <w:r>
              <w:rPr>
                <w:rFonts w:hint="eastAsia" w:ascii="宋体" w:hAnsi="宋体" w:eastAsia="宋体" w:cs="宋体"/>
                <w:b/>
                <w:bCs/>
                <w:sz w:val="22"/>
                <w:szCs w:val="22"/>
                <w:highlight w:val="none"/>
                <w:lang w:eastAsia="zh-CN"/>
              </w:rPr>
              <w:t>11</w:t>
            </w:r>
            <w:r>
              <w:rPr>
                <w:rFonts w:hint="eastAsia" w:ascii="宋体" w:hAnsi="宋体" w:eastAsia="宋体" w:cs="宋体"/>
                <w:b/>
                <w:bCs/>
                <w:sz w:val="22"/>
                <w:szCs w:val="22"/>
                <w:highlight w:val="none"/>
                <w:lang w:val="en-US" w:eastAsia="zh-CN"/>
              </w:rPr>
              <w:t>9</w:t>
            </w:r>
            <w:r>
              <w:rPr>
                <w:rFonts w:hint="eastAsia" w:ascii="宋体" w:hAnsi="宋体" w:eastAsia="宋体" w:cs="宋体"/>
                <w:b/>
                <w:bCs/>
                <w:sz w:val="22"/>
                <w:szCs w:val="22"/>
                <w:highlight w:val="none"/>
                <w:lang w:eastAsia="zh-CN"/>
              </w:rPr>
              <w:t xml:space="preserve">-2015《能源管理体系 </w:t>
            </w:r>
            <w:r>
              <w:rPr>
                <w:rFonts w:hint="eastAsia" w:ascii="宋体" w:hAnsi="宋体" w:eastAsia="宋体" w:cs="宋体"/>
                <w:b/>
                <w:bCs/>
                <w:sz w:val="22"/>
                <w:szCs w:val="22"/>
                <w:highlight w:val="none"/>
                <w:lang w:val="en-US" w:eastAsia="zh-CN"/>
              </w:rPr>
              <w:t>机械制造</w:t>
            </w:r>
            <w:r>
              <w:rPr>
                <w:rFonts w:hint="eastAsia" w:ascii="宋体" w:hAnsi="宋体" w:eastAsia="宋体" w:cs="宋体"/>
                <w:b/>
                <w:bCs/>
                <w:sz w:val="22"/>
                <w:szCs w:val="22"/>
                <w:highlight w:val="none"/>
                <w:lang w:eastAsia="zh-CN"/>
              </w:rPr>
              <w:t>企业认证要求》</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天津市滨海新区大港开发区吉照路133号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范玲玲</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2022-N1EnMS-1024421</w:t>
            </w:r>
          </w:p>
        </w:tc>
        <w:tc>
          <w:tcPr>
            <w:tcW w:w="1140" w:type="dxa"/>
            <w:vAlign w:val="center"/>
          </w:tcPr>
          <w:p>
            <w:pPr>
              <w:spacing w:line="240" w:lineRule="exact"/>
              <w:jc w:val="center"/>
              <w:rPr>
                <w:b/>
                <w:color w:val="000000"/>
                <w:szCs w:val="21"/>
              </w:rPr>
            </w:pPr>
            <w:r>
              <w:rPr>
                <w:b/>
                <w:color w:val="000000"/>
                <w:szCs w:val="21"/>
              </w:rPr>
              <w:t>2.7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宋翠琳</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2022-N1EnMS-1082241</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天津市正方科技发展有限公司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天津市滨海新区大港开发区吉照路133号</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300270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办公地址"/>
            <w:bookmarkStart w:id="25" w:name="生产地址"/>
            <w:r>
              <w:rPr>
                <w:rFonts w:ascii="宋体"/>
                <w:b/>
                <w:color w:val="000000"/>
                <w:szCs w:val="21"/>
              </w:rPr>
              <w:t>天津市滨海新区大港开发区吉照路133号</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300270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韩霞</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13302059909</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李艺</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hint="eastAsia" w:ascii="宋体" w:eastAsia="宋体"/>
                <w:b/>
                <w:color w:val="000000"/>
                <w:szCs w:val="21"/>
                <w:lang w:eastAsia="zh-CN"/>
              </w:rPr>
            </w:pPr>
            <w:r>
              <w:rPr>
                <w:rFonts w:hint="eastAsia" w:ascii="宋体"/>
                <w:b/>
                <w:color w:val="000000"/>
                <w:szCs w:val="21"/>
                <w:lang w:val="en-US" w:eastAsia="zh-CN"/>
              </w:rPr>
              <w:t>耿艳丽</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石油机械设备</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hAnsi="宋体" w:eastAsia="宋体" w:cs="宋体"/>
                <w:sz w:val="21"/>
                <w:szCs w:val="21"/>
                <w:lang w:val="en-US" w:eastAsia="zh-CN"/>
              </w:rPr>
              <w:t>下料—机加工—组装—调试—检验—入库、出厂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31" w:name="审核范围"/>
            <w:r>
              <w:t>石油机械设备的加工、组装所涉及的能源管理活动。</w:t>
            </w:r>
            <w:bookmarkEnd w:id="31"/>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779"/>
        <w:gridCol w:w="1059"/>
        <w:gridCol w:w="2371"/>
        <w:gridCol w:w="11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7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105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371"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10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天津市正方科技发展有限公司</w:t>
            </w:r>
            <w:r>
              <w:rPr>
                <w:rFonts w:hint="eastAsia"/>
                <w:sz w:val="21"/>
                <w:szCs w:val="21"/>
                <w:lang w:val="en-US" w:eastAsia="zh-CN"/>
              </w:rPr>
              <w:t>/</w:t>
            </w:r>
            <w:r>
              <w:rPr>
                <w:sz w:val="21"/>
                <w:szCs w:val="21"/>
              </w:rPr>
              <w:t>天津市滨海新区大港开发区吉照路133号</w:t>
            </w:r>
          </w:p>
        </w:tc>
        <w:tc>
          <w:tcPr>
            <w:tcW w:w="1779" w:type="dxa"/>
          </w:tcPr>
          <w:p>
            <w:pPr>
              <w:spacing w:before="40" w:after="40"/>
              <w:rPr>
                <w:rFonts w:hint="eastAsia" w:ascii="宋体" w:hAnsi="宋体" w:eastAsia="宋体" w:cs="宋体"/>
                <w:b w:val="0"/>
                <w:bCs w:val="0"/>
                <w:sz w:val="21"/>
                <w:szCs w:val="21"/>
                <w:lang w:val="de-DE" w:eastAsia="ja-JP"/>
              </w:rPr>
            </w:pPr>
            <w:r>
              <w:rPr>
                <w:rFonts w:hint="eastAsia" w:ascii="宋体" w:hAnsi="宋体" w:eastAsia="宋体" w:cs="宋体"/>
                <w:b w:val="0"/>
                <w:bCs w:val="0"/>
                <w:sz w:val="21"/>
                <w:szCs w:val="21"/>
              </w:rPr>
              <w:t>天津市滨海新区大港开发区吉照路133号</w:t>
            </w:r>
          </w:p>
        </w:tc>
        <w:tc>
          <w:tcPr>
            <w:tcW w:w="1059" w:type="dxa"/>
            <w:vAlign w:val="center"/>
          </w:tcPr>
          <w:p>
            <w:pPr>
              <w:spacing w:before="40" w:after="4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总人数48人（体系有效人数24人）</w:t>
            </w:r>
          </w:p>
        </w:tc>
        <w:tc>
          <w:tcPr>
            <w:tcW w:w="2371" w:type="dxa"/>
            <w:vAlign w:val="center"/>
          </w:tcPr>
          <w:p>
            <w:pPr>
              <w:pStyle w:val="19"/>
              <w:rPr>
                <w:rFonts w:hint="eastAsia" w:ascii="宋体" w:hAnsi="宋体" w:eastAsia="宋体" w:cs="宋体"/>
                <w:b w:val="0"/>
                <w:bCs w:val="0"/>
                <w:sz w:val="21"/>
                <w:szCs w:val="21"/>
                <w:lang w:val="en-US" w:eastAsia="ja-JP"/>
              </w:rPr>
            </w:pPr>
            <w:r>
              <w:rPr>
                <w:rFonts w:hint="eastAsia" w:ascii="宋体" w:hAnsi="宋体" w:eastAsia="宋体" w:cs="宋体"/>
                <w:b w:val="0"/>
                <w:bCs w:val="0"/>
                <w:sz w:val="21"/>
                <w:szCs w:val="21"/>
              </w:rPr>
              <w:t>石油机械设备的加工、组装所涉及的能源管理活动</w:t>
            </w:r>
          </w:p>
        </w:tc>
        <w:tc>
          <w:tcPr>
            <w:tcW w:w="1101" w:type="dxa"/>
            <w:vAlign w:val="center"/>
          </w:tcPr>
          <w:p>
            <w:pPr>
              <w:spacing w:before="40" w:after="40"/>
              <w:rPr>
                <w:rFonts w:eastAsia="黑体"/>
                <w:szCs w:val="21"/>
                <w:lang w:eastAsia="ja-JP"/>
              </w:rPr>
            </w:pPr>
            <w:r>
              <w:rPr>
                <w:rFonts w:hint="eastAsia" w:ascii="宋体" w:hAnsi="宋体"/>
                <w:b w:val="0"/>
                <w:bCs/>
                <w:sz w:val="21"/>
                <w:szCs w:val="21"/>
              </w:rPr>
              <w:t>GB/T 23331-2020/ISO50001：2018标准</w:t>
            </w:r>
            <w:r>
              <w:rPr>
                <w:rFonts w:hint="eastAsia" w:ascii="宋体" w:hAnsi="宋体"/>
                <w:b w:val="0"/>
                <w:bCs/>
                <w:sz w:val="21"/>
                <w:szCs w:val="21"/>
                <w:lang w:eastAsia="zh-CN"/>
              </w:rPr>
              <w:t>☑</w:t>
            </w:r>
            <w:r>
              <w:rPr>
                <w:rFonts w:hint="eastAsia" w:ascii="宋体" w:hAnsi="宋体"/>
                <w:b w:val="0"/>
                <w:bCs/>
                <w:sz w:val="21"/>
                <w:szCs w:val="21"/>
              </w:rPr>
              <w:t>RB/T</w:t>
            </w:r>
            <w:r>
              <w:rPr>
                <w:rFonts w:hint="eastAsia" w:ascii="宋体" w:hAnsi="宋体" w:eastAsia="宋体" w:cs="宋体"/>
                <w:b w:val="0"/>
                <w:bCs/>
                <w:sz w:val="22"/>
                <w:szCs w:val="22"/>
                <w:highlight w:val="none"/>
                <w:lang w:eastAsia="zh-CN"/>
              </w:rPr>
              <w:t>11</w:t>
            </w:r>
            <w:r>
              <w:rPr>
                <w:rFonts w:hint="eastAsia" w:ascii="宋体" w:hAnsi="宋体" w:eastAsia="宋体" w:cs="宋体"/>
                <w:b w:val="0"/>
                <w:bCs/>
                <w:sz w:val="22"/>
                <w:szCs w:val="22"/>
                <w:highlight w:val="none"/>
                <w:lang w:val="en-US" w:eastAsia="zh-CN"/>
              </w:rPr>
              <w:t>9</w:t>
            </w:r>
            <w:r>
              <w:rPr>
                <w:rFonts w:hint="eastAsia" w:ascii="宋体" w:hAnsi="宋体" w:eastAsia="宋体" w:cs="宋体"/>
                <w:b w:val="0"/>
                <w:bCs/>
                <w:sz w:val="22"/>
                <w:szCs w:val="22"/>
                <w:highlight w:val="none"/>
                <w:lang w:eastAsia="zh-CN"/>
              </w:rPr>
              <w:t>-2015</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779" w:type="dxa"/>
            <w:vAlign w:val="center"/>
          </w:tcPr>
          <w:p>
            <w:pPr>
              <w:spacing w:before="40" w:after="40"/>
              <w:rPr>
                <w:rFonts w:eastAsia="黑体"/>
                <w:szCs w:val="21"/>
                <w:lang w:eastAsia="ja-JP"/>
              </w:rPr>
            </w:pPr>
          </w:p>
        </w:tc>
        <w:tc>
          <w:tcPr>
            <w:tcW w:w="1059" w:type="dxa"/>
            <w:vAlign w:val="center"/>
          </w:tcPr>
          <w:p>
            <w:pPr>
              <w:spacing w:before="40" w:after="40"/>
              <w:rPr>
                <w:rFonts w:eastAsia="黑体"/>
                <w:szCs w:val="21"/>
                <w:lang w:eastAsia="ja-JP"/>
              </w:rPr>
            </w:pPr>
          </w:p>
        </w:tc>
        <w:tc>
          <w:tcPr>
            <w:tcW w:w="2371" w:type="dxa"/>
            <w:vAlign w:val="center"/>
          </w:tcPr>
          <w:p>
            <w:pPr>
              <w:spacing w:before="40" w:after="40"/>
              <w:rPr>
                <w:rFonts w:eastAsia="黑体"/>
                <w:szCs w:val="21"/>
                <w:lang w:eastAsia="ja-JP"/>
              </w:rPr>
            </w:pPr>
          </w:p>
        </w:tc>
        <w:tc>
          <w:tcPr>
            <w:tcW w:w="110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pacing w:val="-10"/>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25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年12月8日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rPr>
              <w:t>□节能主管部门、□动力装置场所、</w:t>
            </w:r>
            <w:r>
              <w:rPr>
                <w:rFonts w:hint="eastAsia" w:ascii="宋体"/>
                <w:color w:val="000000"/>
                <w:spacing w:val="-10"/>
                <w:szCs w:val="21"/>
                <w:lang w:eastAsia="zh-CN"/>
              </w:rPr>
              <w:t>☑</w:t>
            </w:r>
            <w:r>
              <w:rPr>
                <w:rFonts w:hint="eastAsia" w:ascii="宋体"/>
                <w:color w:val="000000"/>
                <w:spacing w:val="-10"/>
                <w:szCs w:val="21"/>
              </w:rPr>
              <w:t>主要用能设备管理、□能源计量管理，</w:t>
            </w:r>
            <w:r>
              <w:rPr>
                <w:rFonts w:hint="eastAsia" w:ascii="宋体"/>
                <w:color w:val="000000"/>
                <w:spacing w:val="-10"/>
                <w:szCs w:val="21"/>
                <w:lang w:eastAsia="zh-CN"/>
              </w:rPr>
              <w:t>☑</w:t>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2" w:name="二阶段审核日期"/>
            <w:bookmarkEnd w:id="32"/>
            <w:r>
              <w:rPr>
                <w:rFonts w:hint="eastAsia" w:ascii="宋体"/>
                <w:b/>
                <w:color w:val="000000"/>
                <w:szCs w:val="21"/>
                <w:lang w:val="en-US" w:eastAsia="zh-CN"/>
              </w:rPr>
              <w:t>2023.1.4-5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9ED3A3"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szCs w:val="21"/>
        </w:rPr>
        <w:drawing>
          <wp:anchor distT="0" distB="0" distL="114300" distR="114300" simplePos="0" relativeHeight="251661312" behindDoc="0" locked="0" layoutInCell="1" allowOverlap="1">
            <wp:simplePos x="0" y="0"/>
            <wp:positionH relativeFrom="column">
              <wp:posOffset>4227195</wp:posOffset>
            </wp:positionH>
            <wp:positionV relativeFrom="paragraph">
              <wp:posOffset>334645</wp:posOffset>
            </wp:positionV>
            <wp:extent cx="638810" cy="293370"/>
            <wp:effectExtent l="0" t="0" r="8890" b="11430"/>
            <wp:wrapNone/>
            <wp:docPr id="2" name="图片 1" descr="ba8dee3f6982ee44ff5b46e779d5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ba8dee3f6982ee44ff5b46e779d5858"/>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638810" cy="29337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w:t>
      </w:r>
      <w:r>
        <w:rPr>
          <w:rFonts w:hint="eastAsia" w:ascii="宋体" w:hAnsi="宋体" w:eastAsia="宋体"/>
          <w:szCs w:val="21"/>
          <w:lang w:eastAsia="zh-CN"/>
        </w:rPr>
        <w:drawing>
          <wp:anchor distT="0" distB="0" distL="114300" distR="114300" simplePos="0" relativeHeight="251662336" behindDoc="0" locked="0" layoutInCell="1" allowOverlap="1">
            <wp:simplePos x="0" y="0"/>
            <wp:positionH relativeFrom="column">
              <wp:posOffset>1671955</wp:posOffset>
            </wp:positionH>
            <wp:positionV relativeFrom="paragraph">
              <wp:posOffset>-139700</wp:posOffset>
            </wp:positionV>
            <wp:extent cx="813435" cy="332105"/>
            <wp:effectExtent l="0" t="0" r="12065" b="10795"/>
            <wp:wrapNone/>
            <wp:docPr id="3" name="图片 2"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111"/>
                    <pic:cNvPicPr>
                      <a:picLocks noChangeAspect="1"/>
                    </pic:cNvPicPr>
                  </pic:nvPicPr>
                  <pic:blipFill>
                    <a:blip r:embed="rId7"/>
                    <a:stretch>
                      <a:fillRect/>
                    </a:stretch>
                  </pic:blipFill>
                  <pic:spPr>
                    <a:xfrm>
                      <a:off x="0" y="0"/>
                      <a:ext cx="813435" cy="332105"/>
                    </a:xfrm>
                    <a:prstGeom prst="rect">
                      <a:avLst/>
                    </a:prstGeom>
                    <a:noFill/>
                    <a:ln>
                      <a:noFill/>
                    </a:ln>
                  </pic:spPr>
                </pic:pic>
              </a:graphicData>
            </a:graphic>
          </wp:anchor>
        </w:drawing>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2023.1.3</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rFonts w:hint="eastAsia" w:ascii="宋体" w:hAnsi="宋体" w:eastAsia="宋体"/>
                <w:szCs w:val="21"/>
                <w:lang w:eastAsia="zh-CN"/>
              </w:rPr>
              <w:drawing>
                <wp:anchor distT="0" distB="0" distL="114300" distR="114300" simplePos="0" relativeHeight="251663360" behindDoc="0" locked="0" layoutInCell="1" allowOverlap="1">
                  <wp:simplePos x="0" y="0"/>
                  <wp:positionH relativeFrom="column">
                    <wp:posOffset>795655</wp:posOffset>
                  </wp:positionH>
                  <wp:positionV relativeFrom="paragraph">
                    <wp:posOffset>184150</wp:posOffset>
                  </wp:positionV>
                  <wp:extent cx="813435" cy="332105"/>
                  <wp:effectExtent l="0" t="0" r="12065" b="10795"/>
                  <wp:wrapNone/>
                  <wp:docPr id="5" name="图片 2"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1111"/>
                          <pic:cNvPicPr>
                            <a:picLocks noChangeAspect="1"/>
                          </pic:cNvPicPr>
                        </pic:nvPicPr>
                        <pic:blipFill>
                          <a:blip r:embed="rId7"/>
                          <a:stretch>
                            <a:fillRect/>
                          </a:stretch>
                        </pic:blipFill>
                        <pic:spPr>
                          <a:xfrm>
                            <a:off x="0" y="0"/>
                            <a:ext cx="813435" cy="332105"/>
                          </a:xfrm>
                          <a:prstGeom prst="rect">
                            <a:avLst/>
                          </a:prstGeom>
                          <a:noFill/>
                          <a:ln>
                            <a:noFill/>
                          </a:ln>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2023</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3</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耿艳丽</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hAnsi="宋体" w:eastAsia="宋体"/>
                <w:szCs w:val="21"/>
                <w:lang w:eastAsia="zh-CN"/>
              </w:rPr>
              <w:drawing>
                <wp:anchor distT="0" distB="0" distL="114300" distR="114300" simplePos="0" relativeHeight="251664384" behindDoc="0" locked="0" layoutInCell="1" allowOverlap="1">
                  <wp:simplePos x="0" y="0"/>
                  <wp:positionH relativeFrom="column">
                    <wp:posOffset>516255</wp:posOffset>
                  </wp:positionH>
                  <wp:positionV relativeFrom="paragraph">
                    <wp:posOffset>93980</wp:posOffset>
                  </wp:positionV>
                  <wp:extent cx="657860" cy="268605"/>
                  <wp:effectExtent l="0" t="0" r="2540" b="10795"/>
                  <wp:wrapNone/>
                  <wp:docPr id="6" name="图片 2"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1111"/>
                          <pic:cNvPicPr>
                            <a:picLocks noChangeAspect="1"/>
                          </pic:cNvPicPr>
                        </pic:nvPicPr>
                        <pic:blipFill>
                          <a:blip r:embed="rId7"/>
                          <a:stretch>
                            <a:fillRect/>
                          </a:stretch>
                        </pic:blipFill>
                        <pic:spPr>
                          <a:xfrm>
                            <a:off x="0" y="0"/>
                            <a:ext cx="657860" cy="268605"/>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jdhOGY5MzIwYjM5OWFmZGI4MTBhODVhYjUzMzlkOTUifQ=="/>
  </w:docVars>
  <w:rsids>
    <w:rsidRoot w:val="00000000"/>
    <w:rsid w:val="047A6D05"/>
    <w:rsid w:val="2F853D2C"/>
    <w:rsid w:val="32107E26"/>
    <w:rsid w:val="4250350B"/>
    <w:rsid w:val="42FC5335"/>
    <w:rsid w:val="4E3043D9"/>
    <w:rsid w:val="667079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4013</Words>
  <Characters>4577</Characters>
  <Lines>67</Lines>
  <Paragraphs>18</Paragraphs>
  <TotalTime>1</TotalTime>
  <ScaleCrop>false</ScaleCrop>
  <LinksUpToDate>false</LinksUpToDate>
  <CharactersWithSpaces>4664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2023-01-03T02:43:13Z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2052-11.1.0.12980</vt:lpwstr>
  </property>
</Properties>
</file>