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天津市正方科技发展有限公司</w:t>
            </w:r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宋翠琳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石油机械设备的加工、组装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工艺流程为：下料—机加工—组装—调试—检验—入库、出厂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主要能源种类：</w:t>
            </w:r>
            <w:r>
              <w:rPr>
                <w:rFonts w:hint="eastAsia" w:ascii="Calibri" w:hAnsi="Calibri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液化天然气、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电力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能源绩效参数：kgce/万元；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kgce/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根</w:t>
            </w: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4"/>
              <w:spacing w:before="18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1、《中华人民共和国电力法》</w:t>
            </w:r>
          </w:p>
          <w:p>
            <w:pPr>
              <w:pStyle w:val="14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2、《中华人民共和国节约能源法》</w:t>
            </w:r>
          </w:p>
          <w:p>
            <w:pPr>
              <w:pStyle w:val="14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3、《中华人民共和国清洁生产法》</w:t>
            </w:r>
          </w:p>
          <w:p>
            <w:pPr>
              <w:pStyle w:val="14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4、《中华人民共和国可再生能源法》</w:t>
            </w:r>
          </w:p>
          <w:p>
            <w:pPr>
              <w:pStyle w:val="14"/>
              <w:spacing w:before="69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5、《国家重点节能技术推广目录（1-6 批）》</w:t>
            </w:r>
          </w:p>
          <w:p>
            <w:pPr>
              <w:pStyle w:val="14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、《企业节能量计算方法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"http://www.csres.com/detail/204647.html" \h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GB/T 13234-201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4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、《企业能量平衡统计方法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"http://www.csres.com/detail/56381.html"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16614-1996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4"/>
              <w:spacing w:before="69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、《企业能量平衡表编制方法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"http://www.csres.com/detail/227580.html"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28751-2012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4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、企业能源平衡通则（GB3484-2009）</w:t>
            </w:r>
          </w:p>
          <w:p>
            <w:pPr>
              <w:pStyle w:val="14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、节能监测技术通则（GB/T15316-2009）</w:t>
            </w:r>
          </w:p>
          <w:p>
            <w:pPr>
              <w:pStyle w:val="14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工业企业能源管理导则</w:t>
            </w:r>
            <w:r>
              <w:rPr>
                <w:sz w:val="21"/>
                <w:szCs w:val="21"/>
              </w:rPr>
              <w:t>（GB/T15587</w:t>
            </w:r>
            <w:r>
              <w:rPr>
                <w:rFonts w:hint="eastAsia"/>
                <w:sz w:val="21"/>
                <w:szCs w:val="21"/>
              </w:rPr>
              <w:t>－2008</w:t>
            </w:r>
            <w:r>
              <w:rPr>
                <w:sz w:val="21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、用能单位能源计量器具配备与管理通则（GB/T17167-2006）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RB/T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109-2013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能源管理体系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人造板及木制品企业认证要求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14、综合能耗计算通则GBT2589-2020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15、</w:t>
            </w:r>
            <w:r>
              <w:rPr>
                <w:sz w:val="21"/>
                <w:szCs w:val="21"/>
              </w:rPr>
              <w:t>用能单位能源计量器具配备与管理通则（GB/T17167-2006）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90170</wp:posOffset>
                  </wp:positionV>
                  <wp:extent cx="664210" cy="271145"/>
                  <wp:effectExtent l="0" t="0" r="8890" b="8255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140970</wp:posOffset>
                  </wp:positionV>
                  <wp:extent cx="664210" cy="271145"/>
                  <wp:effectExtent l="0" t="0" r="8890" b="8255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543249D"/>
    <w:rsid w:val="08F443EB"/>
    <w:rsid w:val="0E886D45"/>
    <w:rsid w:val="0FFE4911"/>
    <w:rsid w:val="139E738B"/>
    <w:rsid w:val="1891115F"/>
    <w:rsid w:val="19042EAD"/>
    <w:rsid w:val="1F10520A"/>
    <w:rsid w:val="26084E8D"/>
    <w:rsid w:val="391159AF"/>
    <w:rsid w:val="39D22AC8"/>
    <w:rsid w:val="44A824B9"/>
    <w:rsid w:val="45442872"/>
    <w:rsid w:val="4D354E86"/>
    <w:rsid w:val="4F8A3C6F"/>
    <w:rsid w:val="55D25843"/>
    <w:rsid w:val="5EAB025A"/>
    <w:rsid w:val="605129B1"/>
    <w:rsid w:val="6086209E"/>
    <w:rsid w:val="6A0953F7"/>
    <w:rsid w:val="6C21283D"/>
    <w:rsid w:val="70B14DA6"/>
    <w:rsid w:val="776A3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iPriority w:val="0"/>
    <w:rPr>
      <w:rFonts w:ascii="华文中宋" w:hAnsi="华文中宋" w:eastAsia="华文中宋"/>
      <w:b/>
      <w:bCs/>
      <w:kern w:val="0"/>
      <w:sz w:val="24"/>
      <w:szCs w:val="18"/>
      <w:lang w:val="zh-CN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eastAsia="宋体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476</Words>
  <Characters>631</Characters>
  <Lines>2</Lines>
  <Paragraphs>1</Paragraphs>
  <TotalTime>0</TotalTime>
  <ScaleCrop>false</ScaleCrop>
  <LinksUpToDate>false</LinksUpToDate>
  <CharactersWithSpaces>640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2023-01-08T10:38:25Z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